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numPr>
          <w:ilvl w:val="0"/>
          <w:numId w:val="0"/>
        </w:numPr>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听证意见汇总表</w:t>
      </w:r>
    </w:p>
    <w:p>
      <w:pPr>
        <w:widowControl w:val="0"/>
        <w:numPr>
          <w:ilvl w:val="0"/>
          <w:numId w:val="0"/>
        </w:numPr>
        <w:jc w:val="right"/>
        <w:rPr>
          <w:rFonts w:hint="eastAsia" w:asciiTheme="minorEastAsia" w:hAnsiTheme="minorEastAsia" w:eastAsiaTheme="minorEastAsia" w:cstheme="minorEastAsia"/>
          <w:b w:val="0"/>
          <w:bCs w:val="0"/>
          <w:sz w:val="28"/>
          <w:szCs w:val="28"/>
          <w:lang w:val="en-US" w:eastAsia="zh-CN"/>
        </w:rPr>
      </w:pPr>
      <w:bookmarkStart w:id="0" w:name="_GoBack"/>
      <w:bookmarkEnd w:id="0"/>
      <w:r>
        <w:rPr>
          <w:rFonts w:hint="eastAsia" w:asciiTheme="minorEastAsia" w:hAnsiTheme="minorEastAsia" w:cstheme="minorEastAsia"/>
          <w:b w:val="0"/>
          <w:bCs w:val="0"/>
          <w:sz w:val="28"/>
          <w:szCs w:val="28"/>
          <w:lang w:val="en-US" w:eastAsia="zh-CN"/>
        </w:rPr>
        <w:t>宝安区文体旅游局    2018年9月4日</w:t>
      </w:r>
    </w:p>
    <w:tbl>
      <w:tblPr>
        <w:tblStyle w:val="4"/>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1215"/>
        <w:gridCol w:w="6300"/>
        <w:gridCol w:w="4575"/>
        <w:gridCol w:w="1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widowControl w:val="0"/>
              <w:numPr>
                <w:ilvl w:val="0"/>
                <w:numId w:val="0"/>
              </w:numPr>
              <w:jc w:val="center"/>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cstheme="minorEastAsia"/>
                <w:b/>
                <w:bCs/>
                <w:sz w:val="24"/>
                <w:szCs w:val="24"/>
                <w:lang w:val="en-US" w:eastAsia="zh-CN"/>
              </w:rPr>
              <w:t>序号</w:t>
            </w:r>
          </w:p>
        </w:tc>
        <w:tc>
          <w:tcPr>
            <w:tcW w:w="1215" w:type="dxa"/>
          </w:tcPr>
          <w:p>
            <w:pPr>
              <w:widowControl w:val="0"/>
              <w:numPr>
                <w:ilvl w:val="0"/>
                <w:numId w:val="0"/>
              </w:numPr>
              <w:jc w:val="center"/>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cstheme="minorEastAsia"/>
                <w:b/>
                <w:bCs/>
                <w:sz w:val="24"/>
                <w:szCs w:val="24"/>
                <w:vertAlign w:val="baseline"/>
                <w:lang w:val="en-US" w:eastAsia="zh-CN"/>
              </w:rPr>
              <w:t>发言人</w:t>
            </w:r>
          </w:p>
        </w:tc>
        <w:tc>
          <w:tcPr>
            <w:tcW w:w="6300" w:type="dxa"/>
          </w:tcPr>
          <w:p>
            <w:pPr>
              <w:widowControl w:val="0"/>
              <w:numPr>
                <w:ilvl w:val="0"/>
                <w:numId w:val="0"/>
              </w:numPr>
              <w:jc w:val="center"/>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cstheme="minorEastAsia"/>
                <w:b/>
                <w:bCs/>
                <w:sz w:val="24"/>
                <w:szCs w:val="24"/>
                <w:vertAlign w:val="baseline"/>
                <w:lang w:val="en-US" w:eastAsia="zh-CN"/>
              </w:rPr>
              <w:t>意见</w:t>
            </w:r>
          </w:p>
        </w:tc>
        <w:tc>
          <w:tcPr>
            <w:tcW w:w="4575" w:type="dxa"/>
          </w:tcPr>
          <w:p>
            <w:pPr>
              <w:widowControl w:val="0"/>
              <w:numPr>
                <w:ilvl w:val="0"/>
                <w:numId w:val="0"/>
              </w:numPr>
              <w:jc w:val="center"/>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cstheme="minorEastAsia"/>
                <w:b/>
                <w:bCs/>
                <w:sz w:val="24"/>
                <w:szCs w:val="24"/>
                <w:vertAlign w:val="baseline"/>
                <w:lang w:val="en-US" w:eastAsia="zh-CN"/>
              </w:rPr>
              <w:t>采纳情况</w:t>
            </w:r>
          </w:p>
        </w:tc>
        <w:tc>
          <w:tcPr>
            <w:tcW w:w="1282" w:type="dxa"/>
          </w:tcPr>
          <w:p>
            <w:pPr>
              <w:widowControl w:val="0"/>
              <w:numPr>
                <w:ilvl w:val="0"/>
                <w:numId w:val="0"/>
              </w:numPr>
              <w:jc w:val="center"/>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cstheme="minorEastAsia"/>
                <w:b/>
                <w:bCs/>
                <w:sz w:val="24"/>
                <w:szCs w:val="24"/>
                <w:vertAlign w:val="baseline"/>
                <w:lang w:val="en-US" w:eastAsia="zh-CN"/>
              </w:rPr>
              <w:t>未采纳理由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1215"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区人大代表朱韶军</w:t>
            </w:r>
          </w:p>
        </w:tc>
        <w:tc>
          <w:tcPr>
            <w:tcW w:w="6300"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该《实施意见》文稿在文物、博物馆各方面都考虑的很全面。部分文字细节上需要打磨，信息化建设对于建立远程博物馆、解决基层文博从业人员缺乏这些问题上有很大作用，希望这个实施意见在加强文博工作的信息化建设上重点提一提，并希望在文物安全工作的责任追究上加大力度。</w:t>
            </w:r>
          </w:p>
        </w:tc>
        <w:tc>
          <w:tcPr>
            <w:tcW w:w="4575"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《实施意见》是一个大方向规范性文件，加强信息化建设问题上在第13 、17条上都有重点提到，加强信息化建设也是我们在《实施意见》公布后将来工作上的一个重点方向。对于将街道、社区第一负责人列为文物直接责任人的问题，目前《文物保护法》上没有明确规定，将来如果出了问题，具体需要追责到哪一级还需要上级确定。</w:t>
            </w:r>
          </w:p>
        </w:tc>
        <w:tc>
          <w:tcPr>
            <w:tcW w:w="1282"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1215"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区政协委员李伟青</w:t>
            </w:r>
          </w:p>
        </w:tc>
        <w:tc>
          <w:tcPr>
            <w:tcW w:w="6300"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希望通过这次听证会使政府能够重视非国有博物馆的问题，不要同城不同政策，我们宝安区能够尽快出台非国有博物馆的扶持办法，在资金上对非国有博物馆有所支持。</w:t>
            </w:r>
          </w:p>
        </w:tc>
        <w:tc>
          <w:tcPr>
            <w:tcW w:w="4575"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目前已经拟制出了相关开展扶持的文稿，并征求了有关单位的意见，现在已经将文件提交区委宣传部、财政局审议，我们也会跟进让这个文件尽快出台。</w:t>
            </w:r>
          </w:p>
        </w:tc>
        <w:tc>
          <w:tcPr>
            <w:tcW w:w="1282"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1215"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民盟盟员杨英梅</w:t>
            </w:r>
          </w:p>
        </w:tc>
        <w:tc>
          <w:tcPr>
            <w:tcW w:w="6300"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个人比较支持该《实施意见》，同时作为一名医疗工作者，宝安区的医疗信息化建设是十分完备的，希望能为将来文博工作的信息化建设提供有益借鉴。</w:t>
            </w:r>
          </w:p>
        </w:tc>
        <w:tc>
          <w:tcPr>
            <w:tcW w:w="4575"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将来如果在文博工作信息化建设上有需要，我们一定跟您联系，到时候还得劳烦您牵线，让我们跟医疗系统充分学习信息化建设的上的成功经验。</w:t>
            </w:r>
          </w:p>
        </w:tc>
        <w:tc>
          <w:tcPr>
            <w:tcW w:w="1282"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1215"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孙明副研究员</w:t>
            </w:r>
          </w:p>
        </w:tc>
        <w:tc>
          <w:tcPr>
            <w:tcW w:w="6300"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出台《实施意见》非常有必要，文稿中“铁仔山古墓群遗址”的学术表述应该是“铁仔山古墓群”,希望将来利用网站等方式将来加强文博宣传工作</w:t>
            </w:r>
          </w:p>
        </w:tc>
        <w:tc>
          <w:tcPr>
            <w:tcW w:w="4575"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在宣传工作上，区文体旅游局一直常抓不懈，在局网站、微信公众号上都长期刊登了文物、博物馆、文物法律法规的宣传信息。</w:t>
            </w:r>
          </w:p>
        </w:tc>
        <w:tc>
          <w:tcPr>
            <w:tcW w:w="1282"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w:t>
            </w:r>
          </w:p>
        </w:tc>
        <w:tc>
          <w:tcPr>
            <w:tcW w:w="1215"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劳务工博物馆李志国</w:t>
            </w:r>
          </w:p>
        </w:tc>
        <w:tc>
          <w:tcPr>
            <w:tcW w:w="6300"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这个《实施意见》是做了大量工作的，作为大方向的实施意见是十分妥当的。但在具体事项的实施上个人还有点担心。第一个是因缺少人员和经费，省级文物“四有工作”中的建立专职机构较难全部实现，第二个是在非国有博物馆的扶持金额上还是有所欠缺，希望将来具体的相关政策出台后金额方面能够提高。第三个是对国有博物馆和非国有博物馆的公共服务水平提升上是否应该分开考虑。</w:t>
            </w:r>
          </w:p>
        </w:tc>
        <w:tc>
          <w:tcPr>
            <w:tcW w:w="4575"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待将来《实施意见》落地后，我们将会跟上级领导和有关部门汇报去尽力争取解决机构人员的问题。对于分类考虑博物馆提升公共服务能力的问题，我们这个文件是个大方向的文件，这个提升公共服务能力只是大方向上的要求，是希望将来各个国有、非国有博物馆按照这个标准主动对标。</w:t>
            </w:r>
          </w:p>
        </w:tc>
        <w:tc>
          <w:tcPr>
            <w:tcW w:w="1282"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w:t>
            </w:r>
          </w:p>
        </w:tc>
        <w:tc>
          <w:tcPr>
            <w:tcW w:w="1215"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一雍博物馆林启中</w:t>
            </w:r>
          </w:p>
        </w:tc>
        <w:tc>
          <w:tcPr>
            <w:tcW w:w="6300"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我认为这个文件很全面，很详细。我有一个建议，就是将来在建设博物馆上提高标准，对劳务工博物馆这种改革开放博物馆上是否考虑不要中型，对打造1-2家特色非国有博物馆这个问题上，建议多搞几家，提高标准切实提升我们非国有博物馆的水准。</w:t>
            </w:r>
          </w:p>
        </w:tc>
        <w:tc>
          <w:tcPr>
            <w:tcW w:w="4575"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我们将与各博物馆充分交流，了解升级改造的实际前提条件。关于博物馆扶持金额问题，我们宝安区的政策目前正在制定当中，将来的扶持金额和扶持门类相较其他区应该是会更多的。</w:t>
            </w:r>
          </w:p>
        </w:tc>
        <w:tc>
          <w:tcPr>
            <w:tcW w:w="1282"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w:t>
            </w:r>
          </w:p>
        </w:tc>
        <w:tc>
          <w:tcPr>
            <w:tcW w:w="1215"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lang w:val="en-US" w:eastAsia="zh-CN"/>
              </w:rPr>
              <w:t>文物业主代表黄超荣</w:t>
            </w:r>
          </w:p>
        </w:tc>
        <w:tc>
          <w:tcPr>
            <w:tcW w:w="6300"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没有意见。但是希望将来我们区建立博物馆要走特色化、地区化的模式，避免千篇一律，真正彰显出宝安的文化风貌。</w:t>
            </w:r>
          </w:p>
        </w:tc>
        <w:tc>
          <w:tcPr>
            <w:tcW w:w="4575"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《实施意见》第五部分有明确说明</w:t>
            </w:r>
          </w:p>
        </w:tc>
        <w:tc>
          <w:tcPr>
            <w:tcW w:w="1282"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02"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8</w:t>
            </w:r>
          </w:p>
        </w:tc>
        <w:tc>
          <w:tcPr>
            <w:tcW w:w="1215"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i w:val="0"/>
                <w:iCs w:val="0"/>
                <w:sz w:val="24"/>
                <w:szCs w:val="24"/>
                <w:lang w:val="en-US" w:eastAsia="zh-CN"/>
              </w:rPr>
              <w:t>西乡文物干事何淳联</w:t>
            </w:r>
          </w:p>
        </w:tc>
        <w:tc>
          <w:tcPr>
            <w:tcW w:w="6300" w:type="dxa"/>
          </w:tcPr>
          <w:p>
            <w:pPr>
              <w:widowControl w:val="0"/>
              <w:numPr>
                <w:ilvl w:val="0"/>
                <w:numId w:val="0"/>
              </w:num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i w:val="0"/>
                <w:iCs w:val="0"/>
                <w:sz w:val="24"/>
                <w:szCs w:val="24"/>
                <w:lang w:val="en-US" w:eastAsia="zh-CN"/>
              </w:rPr>
              <w:t>该《实施意见》很好，没有意见。</w:t>
            </w:r>
            <w:r>
              <w:rPr>
                <w:rFonts w:hint="eastAsia" w:ascii="宋体" w:hAnsi="宋体" w:eastAsia="宋体" w:cs="宋体"/>
                <w:b w:val="0"/>
                <w:bCs w:val="0"/>
                <w:sz w:val="24"/>
                <w:szCs w:val="24"/>
                <w:lang w:val="en-US" w:eastAsia="zh-CN"/>
              </w:rPr>
              <w:t>基层文物工作上存在很多难处使得有些工作难以顺利开展，</w:t>
            </w:r>
            <w:r>
              <w:rPr>
                <w:rFonts w:hint="eastAsia" w:ascii="宋体" w:hAnsi="宋体" w:eastAsia="宋体" w:cs="宋体"/>
                <w:b w:val="0"/>
                <w:bCs w:val="0"/>
                <w:i w:val="0"/>
                <w:iCs w:val="0"/>
                <w:sz w:val="24"/>
                <w:szCs w:val="24"/>
                <w:lang w:val="en-US" w:eastAsia="zh-CN"/>
              </w:rPr>
              <w:t>作为基层文物工作者实际上</w:t>
            </w:r>
            <w:r>
              <w:rPr>
                <w:rFonts w:hint="eastAsia" w:ascii="宋体" w:hAnsi="宋体" w:eastAsia="宋体" w:cs="宋体"/>
                <w:b w:val="0"/>
                <w:bCs w:val="0"/>
                <w:sz w:val="24"/>
                <w:szCs w:val="24"/>
                <w:lang w:val="en-US" w:eastAsia="zh-CN"/>
              </w:rPr>
              <w:t>更关心的是将来政策落地的问题，希望将来这个文件能够成为我们工作上的依据。</w:t>
            </w:r>
          </w:p>
          <w:p>
            <w:pPr>
              <w:widowControl w:val="0"/>
              <w:numPr>
                <w:ilvl w:val="0"/>
                <w:numId w:val="0"/>
              </w:numPr>
              <w:jc w:val="left"/>
              <w:rPr>
                <w:rFonts w:hint="eastAsia" w:ascii="宋体" w:hAnsi="宋体" w:eastAsia="宋体" w:cs="宋体"/>
                <w:b w:val="0"/>
                <w:bCs w:val="0"/>
                <w:sz w:val="24"/>
                <w:szCs w:val="24"/>
                <w:vertAlign w:val="baseline"/>
                <w:lang w:val="en-US" w:eastAsia="zh-CN"/>
              </w:rPr>
            </w:pPr>
          </w:p>
        </w:tc>
        <w:tc>
          <w:tcPr>
            <w:tcW w:w="4575"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该《实施意见》是将由宝安区人民政府印发，将来是一定可以作为基层工作中的依据的。同时，制定这个政策很大程度上也是为了解决基层在文物工作中遇到的问题。</w:t>
            </w:r>
          </w:p>
        </w:tc>
        <w:tc>
          <w:tcPr>
            <w:tcW w:w="1282" w:type="dxa"/>
          </w:tcPr>
          <w:p>
            <w:pPr>
              <w:widowControl w:val="0"/>
              <w:numPr>
                <w:ilvl w:val="0"/>
                <w:numId w:val="0"/>
              </w:numPr>
              <w:jc w:val="left"/>
              <w:rPr>
                <w:rFonts w:hint="eastAsia" w:ascii="宋体" w:hAnsi="宋体" w:eastAsia="宋体" w:cs="宋体"/>
                <w:b w:val="0"/>
                <w:bCs w:val="0"/>
                <w:sz w:val="24"/>
                <w:szCs w:val="24"/>
                <w:vertAlign w:val="baseline"/>
                <w:lang w:val="en-US" w:eastAsia="zh-CN"/>
              </w:rPr>
            </w:pPr>
          </w:p>
        </w:tc>
      </w:tr>
    </w:tbl>
    <w:p/>
    <w:p>
      <w:pPr>
        <w:rPr>
          <w:rFonts w:hint="eastAsia" w:eastAsiaTheme="minorEastAsia"/>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BB3F15"/>
    <w:rsid w:val="29BB3F15"/>
    <w:rsid w:val="70990D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2018-09-05T03:16:00Z</dcterms:created>
  <dc:creator>我的内心有一只猛兽在咆哮</dc:creator>
  <cp:lastModifiedBy>我的内心有一只猛兽在咆哮</cp:lastModifiedBy>
  <cp:lastPrinted>2018-09-06T03:40:01Z</cp:lastPrinted>
  <dcterms:modified xsi:type="dcterms:W3CDTF">2018-09-06T03:41:21Z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