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"/>
        </w:rPr>
        <w:t>附件1</w:t>
      </w:r>
    </w:p>
    <w:p>
      <w:pPr>
        <w:pStyle w:val="1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jc w:val="center"/>
        <w:textAlignment w:val="auto"/>
        <w:rPr>
          <w:rFonts w:asciiTheme="majorEastAsia" w:hAnsiTheme="majorEastAsia" w:eastAsiaTheme="majorEastAsia" w:cstheme="majorEastAsia"/>
          <w:b w:val="0"/>
          <w:bCs w:val="0"/>
          <w:color w:val="auto"/>
          <w:sz w:val="44"/>
          <w:szCs w:val="44"/>
          <w:highlight w:val="none"/>
          <w:u w:val="none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color w:val="auto"/>
          <w:sz w:val="44"/>
          <w:szCs w:val="44"/>
          <w:highlight w:val="none"/>
          <w:u w:val="none"/>
        </w:rPr>
        <w:t>宝安区发展工业互联网赋能制造业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jc w:val="center"/>
        <w:textAlignment w:val="auto"/>
        <w:rPr>
          <w:rFonts w:asciiTheme="majorEastAsia" w:hAnsiTheme="majorEastAsia" w:eastAsiaTheme="majorEastAsia" w:cstheme="majorEastAsia"/>
          <w:b w:val="0"/>
          <w:bCs w:val="0"/>
          <w:color w:val="auto"/>
          <w:sz w:val="44"/>
          <w:szCs w:val="44"/>
          <w:highlight w:val="none"/>
          <w:u w:val="none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color w:val="auto"/>
          <w:sz w:val="44"/>
          <w:szCs w:val="44"/>
          <w:highlight w:val="none"/>
          <w:u w:val="none"/>
        </w:rPr>
        <w:t>数字化转型的若干措施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jc w:val="center"/>
        <w:textAlignment w:val="auto"/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（征求意见稿）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</w:pPr>
      <w:r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为贯彻落实中央、省、市加快工业互联网发展的工作部署，深化国家级工业互联网发展标杆区引领作用，推动制造业向数字化、网络化、智能化转型升级，打造世界级先进制造业高地，结合宝安实际，制定以下措施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ascii="黑体" w:hAnsi="黑体" w:eastAsia="黑体" w:cs="黑体"/>
          <w:b w:val="0"/>
          <w:bCs w:val="0"/>
          <w:color w:val="auto"/>
          <w:sz w:val="32"/>
          <w:szCs w:val="32"/>
          <w:highlight w:val="none"/>
          <w:u w:val="none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u w:val="none"/>
        </w:rPr>
        <w:t>一、提升工业互联网创新发展水平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ascii="楷体_GB2312" w:hAnsi="楷体gb" w:eastAsia="楷体_GB2312" w:cs="楷体gb"/>
          <w:b w:val="0"/>
          <w:bCs w:val="0"/>
          <w:color w:val="auto"/>
          <w:sz w:val="32"/>
          <w:szCs w:val="32"/>
          <w:highlight w:val="none"/>
          <w:u w:val="none"/>
        </w:rPr>
      </w:pPr>
      <w:r>
        <w:rPr>
          <w:rFonts w:hint="eastAsia" w:ascii="楷体_GB2312" w:hAnsi="楷体gb" w:eastAsia="楷体_GB2312" w:cs="楷体gb"/>
          <w:b w:val="0"/>
          <w:bCs w:val="0"/>
          <w:color w:val="auto"/>
          <w:sz w:val="32"/>
          <w:szCs w:val="32"/>
          <w:highlight w:val="none"/>
          <w:u w:val="none"/>
        </w:rPr>
        <w:t>（一）提升创新载体服务能力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</w:pPr>
      <w:r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加强宝安区工业互联网创新中心服务能力建设，指导企业加快工业互联网供给产品研发和应用场景创新，联合服务商共建“设备集成+数字底座+软件服务”合作体系，</w:t>
      </w:r>
      <w:r>
        <w:rPr>
          <w:rFonts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为企业</w:t>
      </w:r>
      <w:r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提供全方位数字化</w:t>
      </w:r>
      <w:r>
        <w:rPr>
          <w:rFonts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转型</w:t>
      </w:r>
      <w:r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服务。深化粤港澳大湾区工业互联网公共技术服务平台建设，为工业互联网标准、工业知识、工业互联网综合解决方案及智能终端提供中试验证。推动腾讯云工业互联网总部基地</w:t>
      </w:r>
      <w:r>
        <w:rPr>
          <w:rFonts w:hint="default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丰富</w:t>
      </w:r>
      <w:r>
        <w:rPr>
          <w:rFonts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W</w:t>
      </w:r>
      <w:r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e</w:t>
      </w:r>
      <w:r>
        <w:rPr>
          <w:rFonts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M</w:t>
      </w:r>
      <w:r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ake工业互联网平台的服务产品，引领中小企业上云上平台。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</w:pPr>
      <w:r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支持创新载体联合企业、研究机构打造国家级工业互联网数字化转型促进中心。</w:t>
      </w:r>
      <w:r>
        <w:rPr>
          <w:rFonts w:hint="default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支持企业</w:t>
      </w:r>
      <w:r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、</w:t>
      </w:r>
      <w:r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高校及科研院所、园区运营管理机构</w:t>
      </w:r>
      <w:r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等</w:t>
      </w:r>
      <w:r>
        <w:rPr>
          <w:rFonts w:hint="default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开展工业互联网创新活动，对入选国家级工业互联网试点示范、国家级新一代信息技术与制造业融合发展示范等项目的，给予50万元一次性奖励。</w:t>
      </w:r>
      <w:r>
        <w:rPr>
          <w:rFonts w:hint="eastAsia" w:ascii="CESI楷体-GB2312" w:hAnsi="CESI楷体-GB2312" w:eastAsia="CESI楷体-GB2312" w:cs="CESI楷体-GB2312"/>
          <w:b w:val="0"/>
          <w:bCs w:val="0"/>
          <w:strike w:val="0"/>
          <w:color w:val="auto"/>
          <w:sz w:val="32"/>
          <w:szCs w:val="32"/>
          <w:highlight w:val="none"/>
          <w:u w:val="none"/>
          <w:lang w:eastAsia="zh-CN"/>
        </w:rPr>
        <w:t>（本项资金受理部门：区工业和信息化局）</w:t>
      </w:r>
      <w:r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每年对宝安区工业互联网创新中心开展创新服务成效考核，考核达标的</w:t>
      </w:r>
      <w:r>
        <w:rPr>
          <w:rFonts w:hint="default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每年</w:t>
      </w:r>
      <w:r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给予</w:t>
      </w:r>
      <w:r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运营单位</w:t>
      </w:r>
      <w:r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200万元</w:t>
      </w:r>
      <w:r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奖励</w:t>
      </w:r>
      <w:r>
        <w:rPr>
          <w:rFonts w:hint="eastAsia" w:ascii="CESI楷体-GB2312" w:hAnsi="CESI楷体-GB2312" w:eastAsia="CESI楷体-GB2312" w:cs="CESI楷体-GB2312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（本项资金受理部门：区工业和信息化局）</w:t>
      </w:r>
      <w:r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鼓励龙头企业、高校、科研机构打造工业互联网、工业大数据等领域的重点实验室</w:t>
      </w:r>
      <w:r>
        <w:rPr>
          <w:rFonts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，</w:t>
      </w:r>
      <w:r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对获得国家、省、市级认</w:t>
      </w:r>
      <w:r>
        <w:rPr>
          <w:rFonts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定</w:t>
      </w:r>
      <w:r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的</w:t>
      </w:r>
      <w:r>
        <w:rPr>
          <w:rFonts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，按照市资助金额的20%，给予最高1000万元奖励</w:t>
      </w:r>
      <w:r>
        <w:rPr>
          <w:rFonts w:hint="eastAsia" w:ascii="CESI楷体-GB2312" w:hAnsi="CESI楷体-GB2312" w:eastAsia="CESI楷体-GB2312" w:cs="CESI楷体-GB2312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（本项资金受理部门：区科技创新局）</w:t>
      </w:r>
      <w:r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ascii="楷体_GB2312" w:hAnsi="楷体gb" w:eastAsia="楷体_GB2312" w:cs="楷体gb"/>
          <w:b w:val="0"/>
          <w:bCs w:val="0"/>
          <w:color w:val="auto"/>
          <w:sz w:val="32"/>
          <w:szCs w:val="32"/>
          <w:highlight w:val="none"/>
          <w:u w:val="none"/>
        </w:rPr>
      </w:pPr>
      <w:r>
        <w:rPr>
          <w:rFonts w:hint="eastAsia" w:ascii="楷体_GB2312" w:hAnsi="楷体gb" w:eastAsia="楷体_GB2312" w:cs="楷体gb"/>
          <w:b w:val="0"/>
          <w:bCs w:val="0"/>
          <w:color w:val="auto"/>
          <w:sz w:val="32"/>
          <w:szCs w:val="32"/>
          <w:highlight w:val="none"/>
          <w:u w:val="none"/>
        </w:rPr>
        <w:t>（二）支持制定工业互联网标准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</w:pPr>
      <w:r>
        <w:rPr>
          <w:rFonts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支持企业</w:t>
      </w:r>
      <w:r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、创新载体、行业服务机构等</w:t>
      </w:r>
      <w:r>
        <w:rPr>
          <w:rFonts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参与工业互联网领域标准制定，</w:t>
      </w:r>
      <w:r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开展基础共性、术语定义、新型工业网络、设备上云、平台评估</w:t>
      </w:r>
      <w:r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、典型应用</w:t>
      </w:r>
      <w:r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等标准研制</w:t>
      </w:r>
      <w:r>
        <w:rPr>
          <w:rFonts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。支持</w:t>
      </w:r>
      <w:r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符合产业需求的先进团体标准转化为行业标准</w:t>
      </w:r>
      <w:r>
        <w:rPr>
          <w:rFonts w:hint="default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和国家标准</w:t>
      </w:r>
      <w:r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，</w:t>
      </w:r>
      <w:r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对主导制定工业互联网行业标准</w:t>
      </w:r>
      <w:r>
        <w:rPr>
          <w:rFonts w:hint="default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、国家标准</w:t>
      </w:r>
      <w:r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的，分别给予每项15万元</w:t>
      </w:r>
      <w:r>
        <w:rPr>
          <w:rFonts w:hint="default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、50万元</w:t>
      </w:r>
      <w:r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的</w:t>
      </w:r>
      <w:bookmarkStart w:id="0" w:name="_GoBack"/>
      <w:bookmarkEnd w:id="0"/>
      <w:r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奖励</w:t>
      </w:r>
      <w:r>
        <w:rPr>
          <w:rFonts w:hint="eastAsia" w:ascii="CESI楷体-GB2312" w:hAnsi="CESI楷体-GB2312" w:eastAsia="CESI楷体-GB2312" w:cs="CESI楷体-GB2312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（本项资金受理部门：宝安区市场监督管理局）</w:t>
      </w:r>
      <w:r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ascii="楷体_GB2312" w:hAnsi="楷体gb" w:eastAsia="楷体_GB2312" w:cs="楷体gb"/>
          <w:b w:val="0"/>
          <w:bCs w:val="0"/>
          <w:color w:val="auto"/>
          <w:sz w:val="32"/>
          <w:szCs w:val="32"/>
          <w:highlight w:val="none"/>
          <w:u w:val="none"/>
        </w:rPr>
      </w:pPr>
      <w:r>
        <w:rPr>
          <w:rFonts w:hint="eastAsia" w:ascii="楷体_GB2312" w:hAnsi="楷体gb" w:eastAsia="楷体_GB2312" w:cs="楷体gb"/>
          <w:b w:val="0"/>
          <w:bCs w:val="0"/>
          <w:color w:val="auto"/>
          <w:sz w:val="32"/>
          <w:szCs w:val="32"/>
          <w:highlight w:val="none"/>
          <w:u w:val="none"/>
        </w:rPr>
        <w:t>（三）推动工业大模型应用场景创新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</w:pPr>
      <w:r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支持</w:t>
      </w:r>
      <w:r>
        <w:rPr>
          <w:rFonts w:hint="default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人工智能企业与制造企业围绕工业场景开展跨界合作。鼓励</w:t>
      </w:r>
      <w:r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企业基于工业互联网探索工业大模型在产品研发创新、设备智能交互与理解、生产管控优化、经营管理自动化等场景的应用，发展</w:t>
      </w:r>
      <w:r>
        <w:rPr>
          <w:rFonts w:hint="default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原理化研发、前瞻化设计、高效化仿真、精细化检测、智能化调控、科学化运维、定制化售后等新模式</w:t>
      </w:r>
      <w:r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。支持有能力企业加快孵化垂直领域专用模型，探索大模型与面向特定场景小模型的协同应用模式，积极打造行业大模型和工业知识库。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ascii="黑体" w:hAnsi="黑体" w:eastAsia="黑体" w:cs="黑体"/>
          <w:b w:val="0"/>
          <w:bCs w:val="0"/>
          <w:color w:val="auto"/>
          <w:sz w:val="32"/>
          <w:szCs w:val="32"/>
          <w:highlight w:val="none"/>
          <w:u w:val="none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u w:val="none"/>
        </w:rPr>
        <w:t>二、壮大工业互联网产业供给能力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ascii="楷体_GB2312" w:hAnsi="楷体gb" w:eastAsia="楷体_GB2312" w:cs="楷体gb"/>
          <w:b w:val="0"/>
          <w:bCs w:val="0"/>
          <w:color w:val="auto"/>
          <w:sz w:val="32"/>
          <w:szCs w:val="32"/>
          <w:highlight w:val="none"/>
          <w:u w:val="none"/>
        </w:rPr>
      </w:pPr>
      <w:r>
        <w:rPr>
          <w:rFonts w:hint="eastAsia" w:ascii="楷体_GB2312" w:hAnsi="楷体gb" w:eastAsia="楷体_GB2312" w:cs="楷体gb"/>
          <w:b w:val="0"/>
          <w:bCs w:val="0"/>
          <w:color w:val="auto"/>
          <w:sz w:val="32"/>
          <w:szCs w:val="32"/>
          <w:highlight w:val="none"/>
          <w:u w:val="none"/>
        </w:rPr>
        <w:t>（四）壮大宝安区工业互联网资源池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培育一批工业互联网服务商，为制造业企业数字化、网络化、智能化升级提供数据采集、工业软件、系统集成、安全防护等各类解决方案及咨询、诊断等专业服务。鼓励</w:t>
      </w:r>
      <w:r>
        <w:rPr>
          <w:rFonts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服务商</w:t>
      </w:r>
      <w:r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瞄准电子信息、装备制造、电气机械等传统行业细分领域、中小企业共性痛点，开发低成本、易部署、易运维的产品，助力制造业企业加快数字化转型。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每年遴选不超过30家优秀服务商入选</w:t>
      </w:r>
      <w:r>
        <w:rPr>
          <w:rFonts w:hint="default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宝安区</w:t>
      </w:r>
      <w:r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资源池，</w:t>
      </w:r>
      <w:r>
        <w:rPr>
          <w:rFonts w:hint="default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对于</w:t>
      </w:r>
      <w:r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产品获评工信部工业互联网APP优秀解决方案的服务商</w:t>
      </w:r>
      <w:r>
        <w:rPr>
          <w:rFonts w:hint="default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自动增</w:t>
      </w:r>
      <w:r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选</w:t>
      </w:r>
      <w:r>
        <w:rPr>
          <w:rFonts w:hint="default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入</w:t>
      </w:r>
      <w:r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池</w:t>
      </w:r>
      <w:r>
        <w:rPr>
          <w:rFonts w:hint="default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，</w:t>
      </w:r>
      <w:r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给予</w:t>
      </w:r>
      <w:r>
        <w:rPr>
          <w:rFonts w:hint="default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资源池企业</w:t>
      </w:r>
      <w:r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每家20万元</w:t>
      </w:r>
      <w:r>
        <w:rPr>
          <w:rFonts w:hint="default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一次性</w:t>
      </w:r>
      <w:r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奖励。支持资源池</w:t>
      </w:r>
      <w:r>
        <w:rPr>
          <w:rFonts w:hint="default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企业</w:t>
      </w:r>
      <w:r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做大做强，对年营业收入超过2000万元的，追加30万元</w:t>
      </w:r>
      <w:r>
        <w:rPr>
          <w:rFonts w:hint="default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一次性</w:t>
      </w:r>
      <w:r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奖励</w:t>
      </w:r>
      <w:r>
        <w:rPr>
          <w:rFonts w:hint="eastAsia" w:ascii="CESI楷体-GB2312" w:hAnsi="CESI楷体-GB2312" w:eastAsia="CESI楷体-GB2312" w:cs="CESI楷体-GB2312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（本项资金受理部门：区工业和信息化局）</w:t>
      </w:r>
      <w:r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ascii="楷体_GB2312" w:hAnsi="楷体gb" w:eastAsia="楷体_GB2312" w:cs="楷体gb"/>
          <w:b w:val="0"/>
          <w:bCs w:val="0"/>
          <w:color w:val="auto"/>
          <w:sz w:val="32"/>
          <w:szCs w:val="32"/>
          <w:highlight w:val="none"/>
          <w:u w:val="none"/>
        </w:rPr>
      </w:pPr>
      <w:r>
        <w:rPr>
          <w:rFonts w:hint="eastAsia" w:ascii="楷体_GB2312" w:hAnsi="楷体gb" w:eastAsia="楷体_GB2312" w:cs="楷体gb"/>
          <w:b w:val="0"/>
          <w:bCs w:val="0"/>
          <w:color w:val="auto"/>
          <w:sz w:val="32"/>
          <w:szCs w:val="32"/>
          <w:highlight w:val="none"/>
          <w:u w:val="none"/>
        </w:rPr>
        <w:t>（五）鼓励特色型专业型平台发展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Times New Roman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u w:val="none"/>
        </w:rPr>
      </w:pPr>
      <w:r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鼓励特色型平台加快沉淀工业知识经验，支持专业型平台融合通用人工智能、数字孪生、开放自动化等先进技术，降低新技术使用门槛。</w:t>
      </w:r>
      <w:r>
        <w:rPr>
          <w:rFonts w:hint="eastAsia" w:ascii="仿宋_GB2312" w:hAnsi="Times New Roman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u w:val="none"/>
        </w:rPr>
        <w:t>对</w:t>
      </w:r>
      <w:r>
        <w:rPr>
          <w:rFonts w:hint="default" w:ascii="仿宋_GB2312" w:hAnsi="Times New Roman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u w:val="none"/>
        </w:rPr>
        <w:t>累计</w:t>
      </w:r>
      <w:r>
        <w:rPr>
          <w:rFonts w:hint="eastAsia" w:ascii="仿宋_GB2312" w:hAnsi="Times New Roman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u w:val="none"/>
        </w:rPr>
        <w:t>客户数量达到</w:t>
      </w:r>
      <w:r>
        <w:rPr>
          <w:rFonts w:ascii="仿宋_GB2312" w:hAnsi="Times New Roman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u w:val="none"/>
        </w:rPr>
        <w:t>100</w:t>
      </w:r>
      <w:r>
        <w:rPr>
          <w:rFonts w:hint="eastAsia" w:ascii="仿宋_GB2312" w:hAnsi="Times New Roman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u w:val="none"/>
        </w:rPr>
        <w:t>家且</w:t>
      </w:r>
      <w:r>
        <w:rPr>
          <w:rFonts w:hint="default" w:ascii="仿宋_GB2312" w:hAnsi="Times New Roman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u w:val="none"/>
        </w:rPr>
        <w:t>年</w:t>
      </w:r>
      <w:r>
        <w:rPr>
          <w:rFonts w:hint="eastAsia" w:ascii="仿宋_GB2312" w:hAnsi="Times New Roman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u w:val="none"/>
        </w:rPr>
        <w:t>营业收入达到</w:t>
      </w:r>
      <w:r>
        <w:rPr>
          <w:rFonts w:ascii="仿宋_GB2312" w:hAnsi="Times New Roman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u w:val="none"/>
        </w:rPr>
        <w:t>1000</w:t>
      </w:r>
      <w:r>
        <w:rPr>
          <w:rFonts w:hint="eastAsia" w:ascii="仿宋_GB2312" w:hAnsi="Times New Roman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u w:val="none"/>
        </w:rPr>
        <w:t>万元的特色型和专业型工业互联网平台，给予</w:t>
      </w:r>
      <w:r>
        <w:rPr>
          <w:rFonts w:ascii="仿宋_GB2312" w:hAnsi="Times New Roman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u w:val="none"/>
        </w:rPr>
        <w:t>50</w:t>
      </w:r>
      <w:r>
        <w:rPr>
          <w:rFonts w:hint="eastAsia" w:ascii="仿宋_GB2312" w:hAnsi="Times New Roman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u w:val="none"/>
        </w:rPr>
        <w:t>万元</w:t>
      </w:r>
      <w:r>
        <w:rPr>
          <w:rFonts w:hint="eastAsia" w:ascii="仿宋_GB2312" w:hAnsi="Times New Roman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u w:val="none"/>
          <w:lang w:eastAsia="zh-CN"/>
        </w:rPr>
        <w:t>一次性</w:t>
      </w:r>
      <w:r>
        <w:rPr>
          <w:rFonts w:hint="eastAsia" w:ascii="仿宋_GB2312" w:hAnsi="Times New Roman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u w:val="none"/>
        </w:rPr>
        <w:t>奖励</w:t>
      </w:r>
      <w:r>
        <w:rPr>
          <w:rFonts w:hint="eastAsia" w:ascii="CESI楷体-GB2312" w:hAnsi="CESI楷体-GB2312" w:eastAsia="CESI楷体-GB2312" w:cs="CESI楷体-GB2312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（本项资金受理部门：区工业和信息化局）</w:t>
      </w:r>
      <w:r>
        <w:rPr>
          <w:rFonts w:hint="eastAsia" w:ascii="仿宋_GB2312" w:hAnsi="Times New Roman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u w:val="none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ascii="楷体_GB2312" w:hAnsi="楷体gb" w:eastAsia="楷体_GB2312" w:cs="楷体gb"/>
          <w:b w:val="0"/>
          <w:bCs w:val="0"/>
          <w:color w:val="auto"/>
          <w:sz w:val="32"/>
          <w:szCs w:val="32"/>
          <w:highlight w:val="none"/>
          <w:u w:val="none"/>
        </w:rPr>
      </w:pPr>
      <w:r>
        <w:rPr>
          <w:rFonts w:hint="eastAsia" w:ascii="楷体_GB2312" w:hAnsi="楷体gb" w:eastAsia="楷体_GB2312" w:cs="楷体gb"/>
          <w:b w:val="0"/>
          <w:bCs w:val="0"/>
          <w:color w:val="auto"/>
          <w:sz w:val="32"/>
          <w:szCs w:val="32"/>
          <w:highlight w:val="none"/>
          <w:u w:val="none"/>
        </w:rPr>
        <w:t>（六）引进培育综合型平台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</w:pPr>
      <w:r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鼓励制造业企业、工业互联网平台企业、云服务商、电信运营商等建设跨行业跨领域的综合型平台，对获得工信部认定为“双跨平台”的</w:t>
      </w:r>
      <w:r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区内</w:t>
      </w:r>
      <w:r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综合型平台，给予1000万元</w:t>
      </w:r>
      <w:r>
        <w:rPr>
          <w:rFonts w:hint="default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一次性</w:t>
      </w:r>
      <w:r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奖励。积极引进“双跨平台”企业，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</w:rPr>
        <w:t>对将“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u w:val="none"/>
          <w:lang w:bidi="ar"/>
        </w:rPr>
        <w:t>双跨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</w:rPr>
        <w:t>平台”总部落户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宝安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</w:rPr>
        <w:t>，年营业收入2000万元以上的“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u w:val="none"/>
          <w:lang w:bidi="ar"/>
        </w:rPr>
        <w:t>双跨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</w:rPr>
        <w:t>平台”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u w:val="none"/>
          <w:lang w:bidi="ar"/>
        </w:rPr>
        <w:t>企业给予1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u w:val="none"/>
          <w:lang w:bidi="ar"/>
        </w:rPr>
        <w:t>000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u w:val="none"/>
          <w:lang w:bidi="ar"/>
        </w:rPr>
        <w:t>万元一次性奖励</w:t>
      </w:r>
      <w:r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u w:val="none"/>
          <w:lang w:bidi="ar"/>
        </w:rPr>
        <w:t>对区外“双跨平台”企业在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u w:val="none"/>
          <w:lang w:eastAsia="zh-CN" w:bidi="ar"/>
        </w:rPr>
        <w:t>宝安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u w:val="none"/>
          <w:lang w:bidi="ar"/>
        </w:rPr>
        <w:t>设立的独立法人分支机构，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</w:rPr>
        <w:t>年营业收入达2000万元以上的，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u w:val="none"/>
          <w:lang w:bidi="ar"/>
        </w:rPr>
        <w:t>给予1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u w:val="none"/>
          <w:lang w:bidi="ar"/>
        </w:rPr>
        <w:t>00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u w:val="none"/>
          <w:lang w:bidi="ar"/>
        </w:rPr>
        <w:t>万元一次性奖励</w:t>
      </w:r>
      <w:r>
        <w:rPr>
          <w:rFonts w:hint="eastAsia" w:ascii="CESI楷体-GB2312" w:hAnsi="CESI楷体-GB2312" w:eastAsia="CESI楷体-GB2312" w:cs="CESI楷体-GB2312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（本项资金受理部门：区工业和信息化局）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u w:val="none"/>
          <w:lang w:bidi="ar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ascii="黑体" w:hAnsi="黑体" w:eastAsia="黑体" w:cs="黑体"/>
          <w:b w:val="0"/>
          <w:bCs w:val="0"/>
          <w:color w:val="auto"/>
          <w:sz w:val="32"/>
          <w:szCs w:val="32"/>
          <w:highlight w:val="none"/>
          <w:u w:val="none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u w:val="none"/>
        </w:rPr>
        <w:t>三、拓展融合应用深度广度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ascii="楷体_GB2312" w:hAnsi="楷体gb" w:eastAsia="楷体_GB2312" w:cs="楷体gb"/>
          <w:b w:val="0"/>
          <w:bCs w:val="0"/>
          <w:color w:val="auto"/>
          <w:sz w:val="32"/>
          <w:szCs w:val="32"/>
          <w:highlight w:val="none"/>
          <w:u w:val="none"/>
        </w:rPr>
      </w:pPr>
      <w:r>
        <w:rPr>
          <w:rFonts w:hint="eastAsia" w:ascii="楷体_GB2312" w:hAnsi="楷体gb" w:eastAsia="楷体_GB2312" w:cs="楷体gb"/>
          <w:b w:val="0"/>
          <w:bCs w:val="0"/>
          <w:color w:val="auto"/>
          <w:sz w:val="32"/>
          <w:szCs w:val="32"/>
          <w:highlight w:val="none"/>
          <w:u w:val="none"/>
        </w:rPr>
        <w:t>（七）提升企业应用普及水平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</w:pPr>
      <w:r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支持企业上云上平台。引导企业围绕研发设计、生产管控、经营管理、工业设备服务等关键环节，部署应用低成本、模块化的云化软件和系统，提升数字化、信息化水平。对上云上平台的企业，按照平台或工业软件当年度收取费用的30%给予最高</w:t>
      </w:r>
      <w:r>
        <w:rPr>
          <w:rFonts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5</w:t>
      </w:r>
      <w:r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万元的消费券补贴</w:t>
      </w:r>
      <w:r>
        <w:rPr>
          <w:rFonts w:hint="default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，</w:t>
      </w:r>
      <w:r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每年支持企业</w:t>
      </w:r>
      <w:r>
        <w:rPr>
          <w:rFonts w:hint="default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上限</w:t>
      </w:r>
      <w:r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2000家</w:t>
      </w:r>
      <w:r>
        <w:rPr>
          <w:rFonts w:hint="eastAsia" w:ascii="CESI楷体-GB2312" w:hAnsi="CESI楷体-GB2312" w:eastAsia="CESI楷体-GB2312" w:cs="CESI楷体-GB2312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（本项资金受理部门：区工业和信息化局）</w:t>
      </w:r>
      <w:r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楷体_GB2312" w:hAnsi="楷体gb" w:eastAsia="楷体_GB2312" w:cs="楷体gb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eastAsia" w:ascii="楷体_GB2312" w:hAnsi="楷体gb" w:eastAsia="楷体_GB2312" w:cs="楷体gb"/>
          <w:b w:val="0"/>
          <w:bCs w:val="0"/>
          <w:color w:val="auto"/>
          <w:sz w:val="32"/>
          <w:szCs w:val="32"/>
          <w:highlight w:val="none"/>
          <w:u w:val="none"/>
        </w:rPr>
        <w:t>（八）引导企业深度应用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</w:pPr>
      <w:r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培育工业互联网车间级应用标杆。鼓励中小企业开展工业互联网应用创新，实现车间各生产管理环节数据协同，每年遴选</w:t>
      </w:r>
      <w:r>
        <w:rPr>
          <w:rFonts w:hint="default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不超过</w:t>
      </w:r>
      <w:r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1</w:t>
      </w:r>
      <w:r>
        <w:rPr>
          <w:rFonts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0</w:t>
      </w:r>
      <w:r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个工业互联网车间级标杆应用，给予</w:t>
      </w:r>
      <w:r>
        <w:rPr>
          <w:rFonts w:hint="default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每家</w:t>
      </w:r>
      <w:r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20万元</w:t>
      </w:r>
      <w:r>
        <w:rPr>
          <w:rFonts w:hint="default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一次性</w:t>
      </w:r>
      <w:r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奖励</w:t>
      </w:r>
      <w:r>
        <w:rPr>
          <w:rFonts w:hint="eastAsia" w:ascii="CESI楷体-GB2312" w:hAnsi="CESI楷体-GB2312" w:eastAsia="CESI楷体-GB2312" w:cs="CESI楷体-GB2312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（本项资金受理部门：区工业和信息化局）</w:t>
      </w:r>
      <w:r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</w:pPr>
      <w:r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培育工业互联网工厂级应用标杆。在电子信息、装备制造、高端模具等重点产业培育应用标杆企业，发挥标杆企业引领示范作用，带动企业广泛应用工业互联网。每年遴选不超过</w:t>
      </w:r>
      <w:r>
        <w:rPr>
          <w:rFonts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10</w:t>
      </w:r>
      <w:r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家工业互联网应用标杆，给予</w:t>
      </w:r>
      <w:r>
        <w:rPr>
          <w:rFonts w:hint="default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每家</w:t>
      </w:r>
      <w:r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100万元</w:t>
      </w:r>
      <w:r>
        <w:rPr>
          <w:rFonts w:hint="default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一次性</w:t>
      </w:r>
      <w:r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奖励</w:t>
      </w:r>
      <w:r>
        <w:rPr>
          <w:rFonts w:hint="eastAsia" w:ascii="CESI楷体-GB2312" w:hAnsi="CESI楷体-GB2312" w:eastAsia="CESI楷体-GB2312" w:cs="CESI楷体-GB2312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（本项资金受理部门：区工业和信息化局）</w:t>
      </w:r>
      <w:r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</w:pPr>
      <w:r>
        <w:rPr>
          <w:rFonts w:hint="default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培育</w:t>
      </w:r>
      <w:r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工业互联网智能化应用标杆。引导制造业企业深度应用工业互联网，探索智能化转型，实现生产经营等环节跨部门、跨企业、跨行业、跨区域的高效协同。每年遴选不超过</w:t>
      </w:r>
      <w:r>
        <w:rPr>
          <w:rFonts w:hint="default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3</w:t>
      </w:r>
      <w:r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家工业互联网智能化应用标杆，给予</w:t>
      </w:r>
      <w:r>
        <w:rPr>
          <w:rFonts w:hint="default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每家</w:t>
      </w:r>
      <w:r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200万元</w:t>
      </w:r>
      <w:r>
        <w:rPr>
          <w:rFonts w:hint="default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一次性</w:t>
      </w:r>
      <w:r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奖励</w:t>
      </w:r>
      <w:r>
        <w:rPr>
          <w:rFonts w:hint="eastAsia" w:ascii="CESI楷体-GB2312" w:hAnsi="CESI楷体-GB2312" w:eastAsia="CESI楷体-GB2312" w:cs="CESI楷体-GB2312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（本项资金受理部门：区工业和信息化局）</w:t>
      </w:r>
      <w:r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ascii="楷体_GB2312" w:hAnsi="楷体gb" w:eastAsia="楷体_GB2312" w:cs="楷体gb"/>
          <w:b w:val="0"/>
          <w:bCs w:val="0"/>
          <w:color w:val="auto"/>
          <w:sz w:val="32"/>
          <w:szCs w:val="32"/>
          <w:highlight w:val="none"/>
          <w:u w:val="none"/>
        </w:rPr>
      </w:pPr>
      <w:r>
        <w:rPr>
          <w:rFonts w:hint="eastAsia" w:ascii="楷体_GB2312" w:hAnsi="楷体gb" w:eastAsia="楷体_GB2312" w:cs="楷体gb"/>
          <w:b w:val="0"/>
          <w:bCs w:val="0"/>
          <w:color w:val="auto"/>
          <w:sz w:val="32"/>
          <w:szCs w:val="32"/>
          <w:highlight w:val="none"/>
          <w:u w:val="none"/>
        </w:rPr>
        <w:t>（九）加速工业园区工业互联网应用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/>
        <w:textAlignment w:val="auto"/>
        <w:rPr>
          <w:rFonts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</w:pPr>
      <w:r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鼓励园区</w:t>
      </w:r>
      <w:r>
        <w:rPr>
          <w:rFonts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开展</w:t>
      </w:r>
      <w:r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新型</w:t>
      </w:r>
      <w:r>
        <w:rPr>
          <w:rFonts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网络基础设施</w:t>
      </w:r>
      <w:r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改造</w:t>
      </w:r>
      <w:r>
        <w:rPr>
          <w:rFonts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，建设服务园区企业的存储</w:t>
      </w:r>
      <w:r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和</w:t>
      </w:r>
      <w:r>
        <w:rPr>
          <w:rFonts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算力设施</w:t>
      </w:r>
      <w:r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，利用算力网络、云网融合、通用人工智能等技术建设完善智慧园区网络设施，支撑中小企业数字化业务升级</w:t>
      </w:r>
      <w:r>
        <w:rPr>
          <w:rFonts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。</w:t>
      </w:r>
      <w:r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引导</w:t>
      </w:r>
      <w:r>
        <w:rPr>
          <w:rFonts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园区</w:t>
      </w:r>
      <w:r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建设</w:t>
      </w:r>
      <w:r>
        <w:rPr>
          <w:rFonts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工业互联网公共服务平台，</w:t>
      </w:r>
      <w:r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为入驻企业提供管理可视化、经营信息化、生产数字化等方面Saa</w:t>
      </w:r>
      <w:r>
        <w:rPr>
          <w:rFonts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S</w:t>
      </w:r>
      <w:r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化、低成本的通用解决方案，实现园区企业轻量化工业互联网应用的普及。每年遴选不超过</w:t>
      </w:r>
      <w:r>
        <w:rPr>
          <w:rFonts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2</w:t>
      </w:r>
      <w:r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个工业互联网应用示范园区，给予</w:t>
      </w:r>
      <w:r>
        <w:rPr>
          <w:rFonts w:hint="default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每家</w:t>
      </w:r>
      <w:r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100</w:t>
      </w:r>
      <w:r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万元</w:t>
      </w:r>
      <w:r>
        <w:rPr>
          <w:rFonts w:hint="default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一次性</w:t>
      </w:r>
      <w:r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奖励</w:t>
      </w:r>
      <w:r>
        <w:rPr>
          <w:rFonts w:hint="eastAsia" w:ascii="CESI楷体-GB2312" w:hAnsi="CESI楷体-GB2312" w:eastAsia="CESI楷体-GB2312" w:cs="CESI楷体-GB2312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（本项资金受理部门：区工业和信息化局）</w:t>
      </w:r>
      <w:r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ascii="楷体_GB2312" w:hAnsi="楷体gb" w:eastAsia="楷体_GB2312" w:cs="楷体gb"/>
          <w:b w:val="0"/>
          <w:bCs w:val="0"/>
          <w:color w:val="auto"/>
          <w:sz w:val="32"/>
          <w:szCs w:val="32"/>
          <w:highlight w:val="none"/>
          <w:u w:val="none"/>
        </w:rPr>
      </w:pPr>
      <w:r>
        <w:rPr>
          <w:rFonts w:hint="eastAsia" w:ascii="楷体_GB2312" w:hAnsi="楷体gb" w:eastAsia="楷体_GB2312" w:cs="楷体gb"/>
          <w:b w:val="0"/>
          <w:bCs w:val="0"/>
          <w:color w:val="auto"/>
          <w:sz w:val="32"/>
          <w:szCs w:val="32"/>
          <w:highlight w:val="none"/>
          <w:u w:val="none"/>
        </w:rPr>
        <w:t>（十）支持产业集群开展工业互联网融合应用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</w:pPr>
      <w:r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开展产业集群数字化转型。围绕智能网联汽车、新能源、半导体与集成电路、高端装备与仪器、智能终端等产业集群，鼓励龙头企业、行业协会、工业互联网企业组建联合体，聚焦“订单、成本、质量、交期”等核心业务，</w:t>
      </w:r>
      <w:r>
        <w:rPr>
          <w:rFonts w:hint="default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建设具备</w:t>
      </w:r>
      <w:r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协同设计、协同制造、个性定制、服务型制造等</w:t>
      </w:r>
      <w:r>
        <w:rPr>
          <w:rFonts w:hint="default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能力的</w:t>
      </w:r>
      <w:r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工业互联网平台，鼓励“大型企业建平台、中小企业用平台”的“链式”转型模式，提升大中小企业融通发展水平。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ascii="楷体_GB2312" w:hAnsi="楷体gb" w:eastAsia="楷体_GB2312" w:cs="楷体gb"/>
          <w:b w:val="0"/>
          <w:bCs w:val="0"/>
          <w:color w:val="auto"/>
          <w:sz w:val="32"/>
          <w:szCs w:val="32"/>
          <w:highlight w:val="none"/>
          <w:u w:val="none"/>
        </w:rPr>
      </w:pPr>
      <w:r>
        <w:rPr>
          <w:rFonts w:hint="eastAsia" w:ascii="楷体_GB2312" w:hAnsi="楷体gb" w:eastAsia="楷体_GB2312" w:cs="楷体gb"/>
          <w:b w:val="0"/>
          <w:bCs w:val="0"/>
          <w:color w:val="auto"/>
          <w:sz w:val="32"/>
          <w:szCs w:val="32"/>
          <w:highlight w:val="none"/>
          <w:u w:val="none"/>
        </w:rPr>
        <w:t>（十一）鼓励企业开展标识解析应用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</w:pPr>
      <w:r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引导企业接入工业互联网标识解析体系，开展关键产品追溯、供应链管理、产品全生命周期管理等创新应用，助力企业进一步提质增效。</w:t>
      </w:r>
      <w:r>
        <w:rPr>
          <w:rFonts w:hint="eastAsia" w:ascii="仿宋_GB2312" w:hAnsi="Times New Roman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u w:val="none"/>
        </w:rPr>
        <w:t>对在生产经营中开展标识实际应用，</w:t>
      </w:r>
      <w:r>
        <w:rPr>
          <w:rFonts w:hint="default" w:ascii="仿宋_GB2312" w:hAnsi="Times New Roman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u w:val="none"/>
        </w:rPr>
        <w:t>累计</w:t>
      </w:r>
      <w:r>
        <w:rPr>
          <w:rFonts w:hint="eastAsia" w:ascii="仿宋_GB2312" w:hAnsi="Times New Roman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u w:val="none"/>
        </w:rPr>
        <w:t>标识注册量超</w:t>
      </w:r>
      <w:r>
        <w:rPr>
          <w:rFonts w:ascii="仿宋_GB2312" w:hAnsi="Times New Roman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u w:val="none"/>
        </w:rPr>
        <w:t>100</w:t>
      </w:r>
      <w:r>
        <w:rPr>
          <w:rFonts w:hint="eastAsia" w:ascii="仿宋_GB2312" w:hAnsi="Times New Roman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u w:val="none"/>
        </w:rPr>
        <w:t>万条且月均解析量超</w:t>
      </w:r>
      <w:r>
        <w:rPr>
          <w:rFonts w:ascii="仿宋_GB2312" w:hAnsi="Times New Roman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u w:val="none"/>
        </w:rPr>
        <w:t>10</w:t>
      </w:r>
      <w:r>
        <w:rPr>
          <w:rFonts w:hint="eastAsia" w:ascii="仿宋_GB2312" w:hAnsi="Times New Roman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u w:val="none"/>
        </w:rPr>
        <w:t>万次的企业，给予</w:t>
      </w:r>
      <w:r>
        <w:rPr>
          <w:rFonts w:ascii="仿宋_GB2312" w:hAnsi="Times New Roman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u w:val="none"/>
        </w:rPr>
        <w:t>10</w:t>
      </w:r>
      <w:r>
        <w:rPr>
          <w:rFonts w:hint="eastAsia" w:ascii="仿宋_GB2312" w:hAnsi="Times New Roman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u w:val="none"/>
        </w:rPr>
        <w:t>万元</w:t>
      </w:r>
      <w:r>
        <w:rPr>
          <w:rFonts w:hint="eastAsia" w:ascii="仿宋_GB2312" w:hAnsi="Times New Roman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u w:val="none"/>
          <w:lang w:eastAsia="zh-CN"/>
        </w:rPr>
        <w:t>一次性</w:t>
      </w:r>
      <w:r>
        <w:rPr>
          <w:rFonts w:hint="eastAsia" w:ascii="仿宋_GB2312" w:hAnsi="Times New Roman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u w:val="none"/>
        </w:rPr>
        <w:t>奖励</w:t>
      </w:r>
      <w:r>
        <w:rPr>
          <w:rFonts w:hint="eastAsia" w:ascii="CESI楷体-GB2312" w:hAnsi="CESI楷体-GB2312" w:eastAsia="CESI楷体-GB2312" w:cs="CESI楷体-GB2312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（本项资金受理部门：区工业和信息化局）</w:t>
      </w:r>
      <w:r>
        <w:rPr>
          <w:rFonts w:hint="eastAsia" w:ascii="仿宋_GB2312" w:hAnsi="Times New Roman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u w:val="none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ascii="黑体" w:hAnsi="黑体" w:eastAsia="黑体" w:cs="黑体"/>
          <w:b w:val="0"/>
          <w:bCs w:val="0"/>
          <w:color w:val="auto"/>
          <w:sz w:val="32"/>
          <w:szCs w:val="32"/>
          <w:highlight w:val="none"/>
          <w:u w:val="none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u w:val="none"/>
        </w:rPr>
        <w:t>四、夯实工业互联网基础设施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ascii="楷体_GB2312" w:hAnsi="楷体gb" w:eastAsia="楷体_GB2312" w:cs="楷体gb"/>
          <w:b w:val="0"/>
          <w:bCs w:val="0"/>
          <w:color w:val="auto"/>
          <w:sz w:val="32"/>
          <w:szCs w:val="32"/>
          <w:highlight w:val="none"/>
          <w:u w:val="none"/>
        </w:rPr>
      </w:pPr>
      <w:r>
        <w:rPr>
          <w:rFonts w:hint="eastAsia" w:ascii="楷体_GB2312" w:hAnsi="楷体gb" w:eastAsia="楷体_GB2312" w:cs="楷体gb"/>
          <w:b w:val="0"/>
          <w:bCs w:val="0"/>
          <w:color w:val="auto"/>
          <w:sz w:val="32"/>
          <w:szCs w:val="32"/>
          <w:highlight w:val="none"/>
          <w:u w:val="none"/>
        </w:rPr>
        <w:t>（十二）优化网络基础能力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/>
        <w:textAlignment w:val="auto"/>
        <w:rPr>
          <w:rFonts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</w:pPr>
      <w:r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充分利用5G工业专网、工业光网、IPv6等技术促进IT-OT融合部署，综合运用边缘计算、软件定义网络、网络功能虚拟化、信息模型等技术提升算网融合基础支撑能力。推进5G、时间敏感网络（TSN）、先进物理层等技术提升设备联网能力。推动基础电信企业加快提升低时延、高可靠、广覆盖的高质量外网覆盖和服务水平，探索研、产、供、销、服业务云化部署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ascii="楷体_GB2312" w:hAnsi="楷体gb" w:eastAsia="楷体_GB2312" w:cs="楷体gb"/>
          <w:b w:val="0"/>
          <w:bCs w:val="0"/>
          <w:color w:val="auto"/>
          <w:sz w:val="32"/>
          <w:szCs w:val="32"/>
          <w:highlight w:val="none"/>
          <w:u w:val="none"/>
        </w:rPr>
      </w:pPr>
      <w:r>
        <w:rPr>
          <w:rFonts w:hint="eastAsia" w:ascii="楷体_GB2312" w:hAnsi="楷体gb" w:eastAsia="楷体_GB2312" w:cs="楷体gb"/>
          <w:b w:val="0"/>
          <w:bCs w:val="0"/>
          <w:color w:val="auto"/>
          <w:sz w:val="32"/>
          <w:szCs w:val="32"/>
          <w:highlight w:val="none"/>
          <w:u w:val="none"/>
        </w:rPr>
        <w:t>（十三）增强标识纽带作用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</w:pPr>
      <w:r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支持龙头企业加快建设行业二级节点，促进行业内产业链价值链关联企业数据互联互通、信息资源共享。鼓励开发完善二级节点与通用工业软件的接口工具，增强节点与工业软件的连接便利性。对获得国家、省、市资金支持的二级节点建设项目，按1:1配套给予最高500万元</w:t>
      </w:r>
      <w:r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一次性</w:t>
      </w:r>
      <w:r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奖励。对年度新增注册量超2000万条且月均解析量超100万次的二级节点运营单位，给予50万元</w:t>
      </w:r>
      <w:r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一次性</w:t>
      </w:r>
      <w:r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奖励</w:t>
      </w:r>
      <w:r>
        <w:rPr>
          <w:rFonts w:hint="eastAsia" w:ascii="CESI楷体-GB2312" w:hAnsi="CESI楷体-GB2312" w:eastAsia="CESI楷体-GB2312" w:cs="CESI楷体-GB2312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（本项资金受理部门：区工业和信息化局）</w:t>
      </w:r>
      <w:r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ascii="楷体_GB2312" w:hAnsi="楷体gb" w:eastAsia="楷体_GB2312" w:cs="楷体gb"/>
          <w:b w:val="0"/>
          <w:bCs w:val="0"/>
          <w:color w:val="auto"/>
          <w:sz w:val="32"/>
          <w:szCs w:val="32"/>
          <w:highlight w:val="none"/>
          <w:u w:val="none"/>
        </w:rPr>
      </w:pPr>
      <w:r>
        <w:rPr>
          <w:rFonts w:hint="eastAsia" w:ascii="楷体_GB2312" w:hAnsi="楷体gb" w:eastAsia="楷体_GB2312" w:cs="楷体gb"/>
          <w:b w:val="0"/>
          <w:bCs w:val="0"/>
          <w:color w:val="auto"/>
          <w:sz w:val="32"/>
          <w:szCs w:val="32"/>
          <w:highlight w:val="none"/>
          <w:u w:val="none"/>
        </w:rPr>
        <w:t>（十四）加强安全防护技术的研发创新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</w:pPr>
      <w:r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加快培育一批技术水平好、市场竞争力强的网络安全企业，鼓励其开展工业互联网安全防护、安全管理、安全监测、安全服务等产品研发及产业化。支持制造企业联合科研院所、IT企业，聚焦工控系统、工业设备、企业云、工业数据等安全核心技术，开展安全模拟仿真、风险评估、安全攻防验证等工业互联网安全技术、产品研发与应用推广。培育国内领先的工业互联网安全标杆企业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ascii="楷体_GB2312" w:hAnsi="楷体gb" w:eastAsia="楷体_GB2312" w:cs="楷体gb"/>
          <w:b w:val="0"/>
          <w:bCs w:val="0"/>
          <w:color w:val="auto"/>
          <w:sz w:val="32"/>
          <w:szCs w:val="32"/>
          <w:highlight w:val="none"/>
          <w:u w:val="none"/>
        </w:rPr>
      </w:pPr>
      <w:r>
        <w:rPr>
          <w:rFonts w:hint="eastAsia" w:ascii="楷体_GB2312" w:hAnsi="楷体gb" w:eastAsia="楷体_GB2312" w:cs="楷体gb"/>
          <w:b w:val="0"/>
          <w:bCs w:val="0"/>
          <w:color w:val="auto"/>
          <w:sz w:val="32"/>
          <w:szCs w:val="32"/>
          <w:highlight w:val="none"/>
          <w:u w:val="none"/>
        </w:rPr>
        <w:t>（十五）促进工业数据要素流通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default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</w:pPr>
      <w:r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推动电子信息、装备制造等多种行业</w:t>
      </w:r>
      <w:r>
        <w:rPr>
          <w:rFonts w:hint="default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加快数据汇聚、推动数据共享、深化数据应用、完善数据治理、强化数据安全。推动工业数据全面采集、加快工业设备互联互通、推动工业数据高质量汇聚。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shd w:val="clear" w:color="auto" w:fill="FFFFFF"/>
        </w:rPr>
        <w:t>推动重点行业探索数据要素共享流通，聚焦协同创新研发、异地共享制造、供应链管控、设备远程运维等跨企业数据流通场景，鼓励龙头企业、平台商牵头，联合数据服务商建设一批行业级可信数据空间。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ascii="黑体" w:hAnsi="黑体" w:eastAsia="黑体" w:cs="黑体"/>
          <w:b w:val="0"/>
          <w:bCs w:val="0"/>
          <w:color w:val="auto"/>
          <w:sz w:val="32"/>
          <w:szCs w:val="32"/>
          <w:highlight w:val="none"/>
          <w:u w:val="none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u w:val="none"/>
        </w:rPr>
        <w:t>五、培育产业协同合作生态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楷体_GB2312" w:hAnsi="楷体gb" w:eastAsia="楷体_GB2312" w:cs="楷体gb"/>
          <w:b w:val="0"/>
          <w:bCs w:val="0"/>
          <w:color w:val="auto"/>
          <w:sz w:val="32"/>
          <w:szCs w:val="32"/>
          <w:highlight w:val="none"/>
          <w:u w:val="none"/>
        </w:rPr>
      </w:pPr>
      <w:r>
        <w:rPr>
          <w:rFonts w:hint="eastAsia" w:ascii="楷体_GB2312" w:hAnsi="楷体gb" w:eastAsia="楷体_GB2312" w:cs="楷体gb"/>
          <w:b w:val="0"/>
          <w:bCs w:val="0"/>
          <w:color w:val="auto"/>
          <w:sz w:val="32"/>
          <w:szCs w:val="32"/>
          <w:highlight w:val="none"/>
          <w:u w:val="none"/>
        </w:rPr>
        <w:t>（十六）发挥工业互联网行业协会纽带作用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/>
        <w:textAlignment w:val="auto"/>
        <w:rPr>
          <w:rFonts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</w:pPr>
      <w:r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鼓励工业互联网行业协会搭建政府、制造业企业、工业互联网企业、科研院所间的沟通交流平台，组建工业互联网高端智库，开展技术交流、技能培训、供需对接、标准研制等各类活动。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ascii="楷体_GB2312" w:hAnsi="楷体gb" w:eastAsia="楷体_GB2312" w:cs="楷体gb"/>
          <w:b w:val="0"/>
          <w:bCs w:val="0"/>
          <w:color w:val="auto"/>
          <w:sz w:val="32"/>
          <w:szCs w:val="32"/>
          <w:highlight w:val="none"/>
          <w:u w:val="none"/>
        </w:rPr>
      </w:pPr>
      <w:r>
        <w:rPr>
          <w:rFonts w:hint="eastAsia" w:ascii="楷体_GB2312" w:hAnsi="楷体gb" w:eastAsia="楷体_GB2312" w:cs="楷体gb"/>
          <w:b w:val="0"/>
          <w:bCs w:val="0"/>
          <w:color w:val="auto"/>
          <w:sz w:val="32"/>
          <w:szCs w:val="32"/>
          <w:highlight w:val="none"/>
          <w:u w:val="none"/>
        </w:rPr>
        <w:t>（十七）打造工业互联网高端活动品牌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</w:pPr>
      <w:r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开展工业互联网</w:t>
      </w:r>
      <w:r>
        <w:rPr>
          <w:rFonts w:hint="default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产业</w:t>
      </w:r>
      <w:r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对接会、</w:t>
      </w:r>
      <w:r>
        <w:rPr>
          <w:rFonts w:hint="default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技术交流会、</w:t>
      </w:r>
      <w:r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专题洽谈会等活动，支持举办具有国际、国内影响力的工业互联网大赛、大会、展会、论坛，汇聚全球顶级产业资源，提升宝安工业互联网示范引领作用。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u w:val="none"/>
        </w:rPr>
      </w:pPr>
      <w:r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  <w:highlight w:val="none"/>
          <w:u w:val="none"/>
        </w:rPr>
        <w:t>六、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u w:val="none"/>
        </w:rPr>
        <w:t>健全工业互联网产业人才培养体系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default" w:ascii="楷体_GB2312" w:hAnsi="楷体gb" w:eastAsia="楷体_GB2312" w:cs="楷体gb"/>
          <w:b w:val="0"/>
          <w:bCs w:val="0"/>
          <w:color w:val="auto"/>
          <w:sz w:val="32"/>
          <w:szCs w:val="32"/>
          <w:highlight w:val="none"/>
          <w:u w:val="none"/>
        </w:rPr>
      </w:pPr>
      <w:r>
        <w:rPr>
          <w:rFonts w:hint="default" w:ascii="楷体_GB2312" w:hAnsi="楷体gb" w:eastAsia="楷体_GB2312" w:cs="楷体gb"/>
          <w:b w:val="0"/>
          <w:bCs w:val="0"/>
          <w:color w:val="auto"/>
          <w:sz w:val="32"/>
          <w:szCs w:val="32"/>
          <w:highlight w:val="none"/>
          <w:u w:val="none"/>
        </w:rPr>
        <w:t>（十八）</w:t>
      </w:r>
      <w:r>
        <w:rPr>
          <w:rFonts w:hint="eastAsia" w:ascii="楷体_GB2312" w:hAnsi="楷体gb" w:eastAsia="楷体_GB2312" w:cs="楷体gb"/>
          <w:b w:val="0"/>
          <w:bCs w:val="0"/>
          <w:color w:val="auto"/>
          <w:sz w:val="32"/>
          <w:szCs w:val="32"/>
          <w:highlight w:val="none"/>
          <w:u w:val="none"/>
        </w:rPr>
        <w:t>加大工业互联网产业人才培养力度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</w:pPr>
      <w:r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面向制造业企业、工业互联网企业，联合高校、科研机构、技工院校、公共技术服务机构</w:t>
      </w:r>
      <w:r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、</w:t>
      </w:r>
      <w:r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行业协会等，开展工业互联网先进技术和运营管理培训。培养工业互联网企业技术人才、高精尖人才；每年认定不超过2个面向工业互联网应用企业的实训基地，给予每家</w:t>
      </w:r>
      <w:r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最高</w:t>
      </w:r>
      <w:r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5</w:t>
      </w:r>
      <w:r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0万元</w:t>
      </w:r>
      <w:r>
        <w:rPr>
          <w:rFonts w:hint="default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一次性</w:t>
      </w:r>
      <w:r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奖励</w:t>
      </w:r>
      <w:r>
        <w:rPr>
          <w:rFonts w:hint="eastAsia" w:ascii="CESI楷体-GB2312" w:hAnsi="CESI楷体-GB2312" w:eastAsia="CESI楷体-GB2312" w:cs="CESI楷体-GB2312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（本项资金受理部门：</w:t>
      </w:r>
      <w:r>
        <w:rPr>
          <w:rFonts w:hint="eastAsia" w:ascii="CESI楷体-GB2312" w:hAnsi="CESI楷体-GB2312" w:eastAsia="CESI楷体-GB2312" w:cs="CESI楷体-GB2312"/>
          <w:b w:val="0"/>
          <w:bCs w:val="0"/>
          <w:color w:val="auto"/>
          <w:sz w:val="32"/>
          <w:szCs w:val="32"/>
          <w:highlight w:val="none"/>
          <w:u w:val="none"/>
        </w:rPr>
        <w:t>区</w:t>
      </w:r>
      <w:r>
        <w:rPr>
          <w:rFonts w:hint="eastAsia" w:ascii="CESI楷体-GB2312" w:hAnsi="CESI楷体-GB2312" w:eastAsia="CESI楷体-GB2312" w:cs="CESI楷体-GB2312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人力资源局）</w:t>
      </w:r>
      <w:r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楷体_GB2312" w:hAnsi="楷体gb" w:eastAsia="楷体_GB2312" w:cs="楷体gb"/>
          <w:b w:val="0"/>
          <w:bCs w:val="0"/>
          <w:color w:val="auto"/>
          <w:sz w:val="32"/>
          <w:szCs w:val="32"/>
          <w:highlight w:val="none"/>
          <w:u w:val="none"/>
        </w:rPr>
      </w:pPr>
      <w:r>
        <w:rPr>
          <w:rFonts w:hint="default" w:ascii="楷体_GB2312" w:hAnsi="楷体gb" w:eastAsia="楷体_GB2312" w:cs="楷体gb"/>
          <w:b w:val="0"/>
          <w:bCs w:val="0"/>
          <w:color w:val="auto"/>
          <w:sz w:val="32"/>
          <w:szCs w:val="32"/>
          <w:highlight w:val="none"/>
          <w:u w:val="none"/>
        </w:rPr>
        <w:t>（十九）</w:t>
      </w:r>
      <w:r>
        <w:rPr>
          <w:rFonts w:hint="eastAsia" w:ascii="楷体_GB2312" w:hAnsi="楷体gb" w:eastAsia="楷体_GB2312" w:cs="楷体gb"/>
          <w:b w:val="0"/>
          <w:bCs w:val="0"/>
          <w:color w:val="auto"/>
          <w:sz w:val="32"/>
          <w:szCs w:val="32"/>
          <w:highlight w:val="none"/>
          <w:u w:val="none"/>
        </w:rPr>
        <w:t>多渠道引进工业互联网产业人才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</w:pPr>
      <w:r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鼓励工业互联网企业参与“名企高校行”等招聘活动，组织工业互联网企业通过“线上线下”公益招聘平台招引人才。举办创新创业等赛事，鼓励境外工业互联网优秀项目和高端人才团队落户宝安。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楷体_GB2312" w:hAnsi="楷体gb" w:eastAsia="楷体_GB2312" w:cs="楷体gb"/>
          <w:b w:val="0"/>
          <w:bCs w:val="0"/>
          <w:color w:val="auto"/>
          <w:sz w:val="32"/>
          <w:szCs w:val="32"/>
          <w:highlight w:val="none"/>
          <w:u w:val="none"/>
        </w:rPr>
      </w:pPr>
      <w:r>
        <w:rPr>
          <w:rFonts w:hint="default" w:ascii="楷体_GB2312" w:hAnsi="楷体gb" w:eastAsia="楷体_GB2312" w:cs="楷体gb"/>
          <w:b w:val="0"/>
          <w:bCs w:val="0"/>
          <w:color w:val="auto"/>
          <w:sz w:val="32"/>
          <w:szCs w:val="32"/>
          <w:highlight w:val="none"/>
          <w:u w:val="none"/>
        </w:rPr>
        <w:t>（二十）</w:t>
      </w:r>
      <w:r>
        <w:rPr>
          <w:rFonts w:hint="eastAsia" w:ascii="楷体_GB2312" w:hAnsi="楷体gb" w:eastAsia="楷体_GB2312" w:cs="楷体gb"/>
          <w:b w:val="0"/>
          <w:bCs w:val="0"/>
          <w:color w:val="auto"/>
          <w:sz w:val="32"/>
          <w:szCs w:val="32"/>
          <w:highlight w:val="none"/>
          <w:u w:val="none"/>
        </w:rPr>
        <w:t>强化工业互联网产业人才服务保障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</w:pPr>
      <w:r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制定完善人才政策，将工业互联网产业人才纳入</w:t>
      </w:r>
      <w:r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宝安</w:t>
      </w:r>
      <w:r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人才评价体系，开通工业互联网产业人才引进绿色通道。加强对工业互联网人才在奖励补贴、子女入学、医疗卫生、住房保障等方面的服务，推动符合条件的工业互联网企业纳入</w:t>
      </w:r>
      <w:r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宝安</w:t>
      </w:r>
      <w:r>
        <w:rPr>
          <w:rFonts w:hint="eastAsia"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  <w:t>“人才安居重点企业名录”。</w:t>
      </w:r>
    </w:p>
    <w:p>
      <w:pPr>
        <w:pStyle w:val="5"/>
        <w:adjustRightInd w:val="0"/>
        <w:snapToGrid w:val="0"/>
        <w:spacing w:line="580" w:lineRule="exact"/>
        <w:ind w:firstLine="640"/>
        <w:outlineLvl w:val="0"/>
        <w:rPr>
          <w:rFonts w:ascii="黑体" w:hAnsi="黑体" w:eastAsia="黑体" w:cs="黑体"/>
          <w:b w:val="0"/>
          <w:bCs w:val="0"/>
          <w:color w:val="auto"/>
          <w:sz w:val="32"/>
          <w:szCs w:val="32"/>
          <w:highlight w:val="none"/>
          <w:u w:val="none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七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u w:val="none"/>
        </w:rPr>
        <w:t>、附则</w:t>
      </w:r>
    </w:p>
    <w:p>
      <w:pPr>
        <w:adjustRightInd w:val="0"/>
        <w:snapToGrid w:val="0"/>
        <w:spacing w:line="580" w:lineRule="exact"/>
        <w:ind w:firstLine="643"/>
        <w:rPr>
          <w:rFonts w:hint="eastAsia" w:ascii="楷体_GB2312" w:hAnsi="方正楷体_GBK" w:eastAsia="楷体_GB2312" w:cs="方正楷体_GBK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eastAsia" w:ascii="楷体_GB2312" w:hAnsi="方正楷体_GBK" w:eastAsia="楷体_GB2312" w:cs="方正楷体_GBK"/>
          <w:b w:val="0"/>
          <w:bCs w:val="0"/>
          <w:color w:val="auto"/>
          <w:sz w:val="32"/>
          <w:szCs w:val="32"/>
          <w:highlight w:val="none"/>
          <w:u w:val="none"/>
        </w:rPr>
        <w:t>（二十一）</w:t>
      </w:r>
      <w:r>
        <w:rPr>
          <w:rFonts w:hint="eastAsia" w:asci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</w:rPr>
        <w:t>本措施与</w:t>
      </w:r>
      <w:r>
        <w:rPr>
          <w:rFonts w:hint="eastAsia" w:asci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宝安</w:t>
      </w:r>
      <w:r>
        <w:rPr>
          <w:rFonts w:hint="eastAsia" w:asci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</w:rPr>
        <w:t>区其他同类优惠措施、前海合作区同类优惠措施不重复资助。</w:t>
      </w:r>
      <w:r>
        <w:rPr>
          <w:rFonts w:hint="default" w:asci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</w:rPr>
        <w:t>同一项目符合</w:t>
      </w:r>
      <w:r>
        <w:rPr>
          <w:rFonts w:hint="eastAsia" w:ascii="仿宋_GB2312" w:eastAsia="仿宋_GB2312" w:cs="仿宋_GB2312" w:hAnsiTheme="minorHAnsi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本措施</w:t>
      </w:r>
      <w:r>
        <w:rPr>
          <w:rFonts w:hint="default" w:asci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多项奖励条款的，不重复资助。</w:t>
      </w:r>
    </w:p>
    <w:p>
      <w:pPr>
        <w:adjustRightInd w:val="0"/>
        <w:snapToGrid w:val="0"/>
        <w:spacing w:line="580" w:lineRule="exact"/>
        <w:ind w:firstLine="643"/>
        <w:rPr>
          <w:rFonts w:hint="eastAsia" w:asci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eastAsia" w:ascii="楷体_GB2312" w:hAnsi="方正楷体_GBK" w:eastAsia="楷体_GB2312" w:cs="方正楷体_GBK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（二十二）</w:t>
      </w:r>
      <w:r>
        <w:rPr>
          <w:rFonts w:hint="eastAsia" w:asci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</w:rPr>
        <w:t>本措施所需资金从宝安区科技与产业发展专项资金列支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按照宝安区科技与产业发展专项资金预算进行总额控制</w:t>
      </w:r>
      <w:r>
        <w:rPr>
          <w:rFonts w:hint="eastAsia" w:asci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</w:rPr>
        <w:t>。</w:t>
      </w:r>
    </w:p>
    <w:p>
      <w:pPr>
        <w:pStyle w:val="5"/>
        <w:adjustRightInd w:val="0"/>
        <w:snapToGrid w:val="0"/>
        <w:spacing w:line="580" w:lineRule="exact"/>
        <w:ind w:firstLine="640"/>
        <w:outlineLvl w:val="0"/>
        <w:rPr>
          <w:rFonts w:ascii="仿宋_GB2312" w:hAnsi="方正仿宋_GBK" w:eastAsia="仿宋_GB2312" w:cs="方正仿宋_GBK"/>
          <w:b w:val="0"/>
          <w:bCs w:val="0"/>
          <w:color w:val="auto"/>
          <w:sz w:val="32"/>
          <w:szCs w:val="32"/>
          <w:highlight w:val="none"/>
          <w:u w:val="none"/>
        </w:rPr>
      </w:pPr>
      <w:r>
        <w:rPr>
          <w:rFonts w:hint="eastAsia" w:ascii="楷体_GB2312" w:hAnsi="方正楷体_GBK" w:eastAsia="楷体_GB2312" w:cs="方正楷体_GBK"/>
          <w:b w:val="0"/>
          <w:bCs w:val="0"/>
          <w:color w:val="auto"/>
          <w:sz w:val="32"/>
          <w:szCs w:val="32"/>
          <w:highlight w:val="none"/>
          <w:u w:val="none"/>
        </w:rPr>
        <w:t>（二十</w:t>
      </w:r>
      <w:r>
        <w:rPr>
          <w:rFonts w:hint="eastAsia" w:ascii="楷体_GB2312" w:hAnsi="方正楷体_GBK" w:eastAsia="楷体_GB2312" w:cs="方正楷体_GBK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三</w:t>
      </w:r>
      <w:r>
        <w:rPr>
          <w:rFonts w:hint="eastAsia" w:ascii="楷体_GB2312" w:hAnsi="方正楷体_GBK" w:eastAsia="楷体_GB2312" w:cs="方正楷体_GBK"/>
          <w:b w:val="0"/>
          <w:bCs w:val="0"/>
          <w:color w:val="auto"/>
          <w:sz w:val="32"/>
          <w:szCs w:val="32"/>
          <w:highlight w:val="none"/>
          <w:u w:val="none"/>
        </w:rPr>
        <w:t>）</w:t>
      </w:r>
      <w:r>
        <w:rPr>
          <w:rFonts w:asci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</w:rPr>
        <w:t>本措施自202</w:t>
      </w:r>
      <w:r>
        <w:rPr>
          <w:rFonts w:hint="eastAsia" w:asci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4</w:t>
      </w:r>
      <w:r>
        <w:rPr>
          <w:rFonts w:asci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</w:rPr>
        <w:t>年</w:t>
      </w:r>
      <w:r>
        <w:rPr>
          <w:rFonts w:hint="eastAsia" w:asci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 xml:space="preserve"> </w:t>
      </w:r>
      <w:r>
        <w:rPr>
          <w:rFonts w:asci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</w:rPr>
        <w:t>月</w:t>
      </w:r>
      <w:r>
        <w:rPr>
          <w:rFonts w:hint="eastAsia" w:asci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 xml:space="preserve"> </w:t>
      </w:r>
      <w:r>
        <w:rPr>
          <w:rFonts w:asci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</w:rPr>
        <w:t>日起</w:t>
      </w:r>
      <w:r>
        <w:rPr>
          <w:rFonts w:hint="eastAsia" w:asci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施行</w:t>
      </w:r>
      <w:r>
        <w:rPr>
          <w:rFonts w:asci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</w:rPr>
        <w:t>，有效期</w:t>
      </w:r>
      <w:r>
        <w:rPr>
          <w:rFonts w:hint="eastAsia" w:asci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5</w:t>
      </w:r>
      <w:r>
        <w:rPr>
          <w:rFonts w:asci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</w:rPr>
        <w:t>年</w:t>
      </w:r>
      <w:r>
        <w:rPr>
          <w:rFonts w:hint="eastAsia" w:asci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</w:rPr>
        <w:t>，</w:t>
      </w:r>
      <w:r>
        <w:rPr>
          <w:rFonts w:asci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</w:rPr>
        <w:t>由</w:t>
      </w:r>
      <w:r>
        <w:rPr>
          <w:rFonts w:hint="eastAsia" w:asci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宝安</w:t>
      </w:r>
      <w:r>
        <w:rPr>
          <w:rFonts w:asci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</w:rPr>
        <w:t>区工业和信息化局负责解释。</w:t>
      </w:r>
      <w:r>
        <w:rPr>
          <w:rFonts w:hint="eastAsia" w:ascii="仿宋_GB2312" w:eastAsia="仿宋_GB2312" w:cs="仿宋_GB2312"/>
          <w:b w:val="0"/>
          <w:bCs w:val="0"/>
          <w:color w:val="auto"/>
          <w:szCs w:val="32"/>
          <w:highlight w:val="none"/>
          <w:u w:val="none"/>
        </w:rPr>
        <w:t>执行期间如遇国家、省、市有关政策规定调整的，本措施可进行相应调整。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gb">
    <w:altName w:val="方正楷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ESI楷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Arial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00033BE2"/>
    <w:rsid w:val="000E6B15"/>
    <w:rsid w:val="001D08DA"/>
    <w:rsid w:val="001F7B30"/>
    <w:rsid w:val="002F4D73"/>
    <w:rsid w:val="003068BA"/>
    <w:rsid w:val="00384C9F"/>
    <w:rsid w:val="00431947"/>
    <w:rsid w:val="0044109D"/>
    <w:rsid w:val="00495ED6"/>
    <w:rsid w:val="004A44EC"/>
    <w:rsid w:val="004C4F79"/>
    <w:rsid w:val="004E2A7B"/>
    <w:rsid w:val="004F4D88"/>
    <w:rsid w:val="00503A09"/>
    <w:rsid w:val="00572BA9"/>
    <w:rsid w:val="006520EA"/>
    <w:rsid w:val="006D2050"/>
    <w:rsid w:val="006D79EE"/>
    <w:rsid w:val="00703DB8"/>
    <w:rsid w:val="007227DF"/>
    <w:rsid w:val="00731AE8"/>
    <w:rsid w:val="00734365"/>
    <w:rsid w:val="007434A6"/>
    <w:rsid w:val="0077318E"/>
    <w:rsid w:val="00780E7C"/>
    <w:rsid w:val="007F21D7"/>
    <w:rsid w:val="00820805"/>
    <w:rsid w:val="00834F41"/>
    <w:rsid w:val="008726E5"/>
    <w:rsid w:val="00893EA7"/>
    <w:rsid w:val="008F118D"/>
    <w:rsid w:val="009740EF"/>
    <w:rsid w:val="009C5D47"/>
    <w:rsid w:val="009E51A0"/>
    <w:rsid w:val="009F21CC"/>
    <w:rsid w:val="00A261B2"/>
    <w:rsid w:val="00AB16DF"/>
    <w:rsid w:val="00AF75A6"/>
    <w:rsid w:val="00B542AB"/>
    <w:rsid w:val="00B5552B"/>
    <w:rsid w:val="00B60225"/>
    <w:rsid w:val="00B63B2A"/>
    <w:rsid w:val="00C54D03"/>
    <w:rsid w:val="00D102D9"/>
    <w:rsid w:val="00DA6E97"/>
    <w:rsid w:val="00E31278"/>
    <w:rsid w:val="00E42424"/>
    <w:rsid w:val="00E51946"/>
    <w:rsid w:val="00E56F22"/>
    <w:rsid w:val="00E65D30"/>
    <w:rsid w:val="00F6600A"/>
    <w:rsid w:val="00FD44B4"/>
    <w:rsid w:val="00FE312C"/>
    <w:rsid w:val="072F9948"/>
    <w:rsid w:val="19AE1F6B"/>
    <w:rsid w:val="19F87BEB"/>
    <w:rsid w:val="1B6B2340"/>
    <w:rsid w:val="1DBF4319"/>
    <w:rsid w:val="1F69691F"/>
    <w:rsid w:val="284F3AC7"/>
    <w:rsid w:val="2BFF80A9"/>
    <w:rsid w:val="33FB0A22"/>
    <w:rsid w:val="35DFA2F8"/>
    <w:rsid w:val="37BB036D"/>
    <w:rsid w:val="37BF7C8F"/>
    <w:rsid w:val="3B9DAC47"/>
    <w:rsid w:val="3D3C56F7"/>
    <w:rsid w:val="3EAB3061"/>
    <w:rsid w:val="3EDF3FC6"/>
    <w:rsid w:val="3F3FFC89"/>
    <w:rsid w:val="3F5EF18A"/>
    <w:rsid w:val="3F7DA981"/>
    <w:rsid w:val="3F7FA0F3"/>
    <w:rsid w:val="3FA93964"/>
    <w:rsid w:val="3FD73796"/>
    <w:rsid w:val="3FDD5EE1"/>
    <w:rsid w:val="3FE3D901"/>
    <w:rsid w:val="3FE9B7B7"/>
    <w:rsid w:val="45FE800E"/>
    <w:rsid w:val="49BB6083"/>
    <w:rsid w:val="4A1947CF"/>
    <w:rsid w:val="4AEE7C04"/>
    <w:rsid w:val="4BDBCF45"/>
    <w:rsid w:val="4FDC9827"/>
    <w:rsid w:val="4FFF00EB"/>
    <w:rsid w:val="4FFF7EF7"/>
    <w:rsid w:val="53FF419F"/>
    <w:rsid w:val="57758DF6"/>
    <w:rsid w:val="5789EE23"/>
    <w:rsid w:val="596F6D8A"/>
    <w:rsid w:val="5BD9393C"/>
    <w:rsid w:val="5BDD4E91"/>
    <w:rsid w:val="5CDBFF5C"/>
    <w:rsid w:val="5ECBAEE4"/>
    <w:rsid w:val="5EFB7E7E"/>
    <w:rsid w:val="5EFF7077"/>
    <w:rsid w:val="5F7F3951"/>
    <w:rsid w:val="5FCA2B10"/>
    <w:rsid w:val="5FFF67C5"/>
    <w:rsid w:val="69FC45A3"/>
    <w:rsid w:val="6BDF144D"/>
    <w:rsid w:val="6BF7FB6E"/>
    <w:rsid w:val="6CEFB69E"/>
    <w:rsid w:val="6D3ECAC5"/>
    <w:rsid w:val="6DD77534"/>
    <w:rsid w:val="6DFF1AA3"/>
    <w:rsid w:val="6F75F7D1"/>
    <w:rsid w:val="6F7A2E3C"/>
    <w:rsid w:val="6FBCD69C"/>
    <w:rsid w:val="6FFEC67C"/>
    <w:rsid w:val="6FFF86D4"/>
    <w:rsid w:val="6FFF90A6"/>
    <w:rsid w:val="70EB2CA2"/>
    <w:rsid w:val="71CE672D"/>
    <w:rsid w:val="73FD1FB1"/>
    <w:rsid w:val="74FFD881"/>
    <w:rsid w:val="76F5C866"/>
    <w:rsid w:val="76FDFF81"/>
    <w:rsid w:val="775B66EC"/>
    <w:rsid w:val="77D7BD26"/>
    <w:rsid w:val="77F90D8E"/>
    <w:rsid w:val="797F3195"/>
    <w:rsid w:val="79FDC4C3"/>
    <w:rsid w:val="7A7D6A8F"/>
    <w:rsid w:val="7AFAF326"/>
    <w:rsid w:val="7B67972A"/>
    <w:rsid w:val="7B67AEC5"/>
    <w:rsid w:val="7BBDF90B"/>
    <w:rsid w:val="7BDF98C8"/>
    <w:rsid w:val="7BFF0FE8"/>
    <w:rsid w:val="7CFF4D60"/>
    <w:rsid w:val="7CFF70CC"/>
    <w:rsid w:val="7D078652"/>
    <w:rsid w:val="7DB720A8"/>
    <w:rsid w:val="7E1F0E82"/>
    <w:rsid w:val="7E5C6B21"/>
    <w:rsid w:val="7EDBD2EA"/>
    <w:rsid w:val="7F5E45C7"/>
    <w:rsid w:val="7F5F1EFF"/>
    <w:rsid w:val="7F7B90CB"/>
    <w:rsid w:val="7F9FC7FE"/>
    <w:rsid w:val="7FAFA9DE"/>
    <w:rsid w:val="7FBF58C5"/>
    <w:rsid w:val="7FDBBC38"/>
    <w:rsid w:val="7FE7DC0E"/>
    <w:rsid w:val="7FEB5442"/>
    <w:rsid w:val="7FEB81AC"/>
    <w:rsid w:val="7FEF7ACF"/>
    <w:rsid w:val="7FF9A73D"/>
    <w:rsid w:val="7FFA76DF"/>
    <w:rsid w:val="7FFE03AA"/>
    <w:rsid w:val="7FFFE66F"/>
    <w:rsid w:val="8F3F5CA2"/>
    <w:rsid w:val="973E61A3"/>
    <w:rsid w:val="97EE84B4"/>
    <w:rsid w:val="9AFC4841"/>
    <w:rsid w:val="AF3F5017"/>
    <w:rsid w:val="AFBC0B07"/>
    <w:rsid w:val="AFDD68D7"/>
    <w:rsid w:val="B5BBFE8D"/>
    <w:rsid w:val="B5FFBA87"/>
    <w:rsid w:val="B65D31C9"/>
    <w:rsid w:val="B6A73B21"/>
    <w:rsid w:val="B7FE1600"/>
    <w:rsid w:val="BBF89C0C"/>
    <w:rsid w:val="BDDFAB61"/>
    <w:rsid w:val="BDDFDAB1"/>
    <w:rsid w:val="BDFF8130"/>
    <w:rsid w:val="BE7E67AD"/>
    <w:rsid w:val="BF5C5CE5"/>
    <w:rsid w:val="BFBE642D"/>
    <w:rsid w:val="BFBF4379"/>
    <w:rsid w:val="BFDB6432"/>
    <w:rsid w:val="BFF9D9FB"/>
    <w:rsid w:val="BFFE8D8D"/>
    <w:rsid w:val="BFFFBB05"/>
    <w:rsid w:val="C7FB87A6"/>
    <w:rsid w:val="C9BDF427"/>
    <w:rsid w:val="CBE96909"/>
    <w:rsid w:val="CBFD619C"/>
    <w:rsid w:val="CD5F8F67"/>
    <w:rsid w:val="DA750537"/>
    <w:rsid w:val="DBEB7551"/>
    <w:rsid w:val="DBFE018C"/>
    <w:rsid w:val="DDE79458"/>
    <w:rsid w:val="DEDFA398"/>
    <w:rsid w:val="DEF25C18"/>
    <w:rsid w:val="DF7D2B2D"/>
    <w:rsid w:val="DFB29283"/>
    <w:rsid w:val="DFFF471D"/>
    <w:rsid w:val="E75D5858"/>
    <w:rsid w:val="E75DBAAB"/>
    <w:rsid w:val="E7D3F746"/>
    <w:rsid w:val="EB8FAA70"/>
    <w:rsid w:val="ED4A1169"/>
    <w:rsid w:val="EDFD11D0"/>
    <w:rsid w:val="EE7F44C5"/>
    <w:rsid w:val="EEDFA8A1"/>
    <w:rsid w:val="EF9FDFB8"/>
    <w:rsid w:val="EFEB79B2"/>
    <w:rsid w:val="EFEEC02B"/>
    <w:rsid w:val="EFFC3DBF"/>
    <w:rsid w:val="F1BF41D8"/>
    <w:rsid w:val="F3FFC2F6"/>
    <w:rsid w:val="F56FCCC6"/>
    <w:rsid w:val="F64C6377"/>
    <w:rsid w:val="F77DE0C9"/>
    <w:rsid w:val="F7F57032"/>
    <w:rsid w:val="F7F97595"/>
    <w:rsid w:val="F8DF78FB"/>
    <w:rsid w:val="F99D8E80"/>
    <w:rsid w:val="FAF37BC0"/>
    <w:rsid w:val="FAF7FD08"/>
    <w:rsid w:val="FB5B5771"/>
    <w:rsid w:val="FBDB96DA"/>
    <w:rsid w:val="FBF9D07D"/>
    <w:rsid w:val="FBFE971F"/>
    <w:rsid w:val="FD7FAABD"/>
    <w:rsid w:val="FD7FC140"/>
    <w:rsid w:val="FDDD8779"/>
    <w:rsid w:val="FDF662C8"/>
    <w:rsid w:val="FDF757E4"/>
    <w:rsid w:val="FDFE0A87"/>
    <w:rsid w:val="FEAEE65C"/>
    <w:rsid w:val="FF17D3E2"/>
    <w:rsid w:val="FF4E5020"/>
    <w:rsid w:val="FF5AE296"/>
    <w:rsid w:val="FF7F3332"/>
    <w:rsid w:val="FF9E8C0A"/>
    <w:rsid w:val="FFCD72A2"/>
    <w:rsid w:val="FFD55E71"/>
    <w:rsid w:val="FFF347F0"/>
    <w:rsid w:val="FFFF47B3"/>
    <w:rsid w:val="FFFFAA72"/>
    <w:rsid w:val="FFFFE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rFonts w:eastAsia="仿宋"/>
      <w:b/>
      <w:kern w:val="44"/>
      <w:sz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4">
    <w:name w:val="index 8"/>
    <w:basedOn w:val="1"/>
    <w:next w:val="1"/>
    <w:qFormat/>
    <w:uiPriority w:val="0"/>
    <w:pPr>
      <w:ind w:left="1400" w:leftChars="1400"/>
    </w:pPr>
    <w:rPr>
      <w:rFonts w:ascii="Times New Roman" w:hAnsi="Times New Roman"/>
    </w:rPr>
  </w:style>
  <w:style w:type="paragraph" w:styleId="5">
    <w:name w:val="Normal Indent"/>
    <w:basedOn w:val="1"/>
    <w:next w:val="1"/>
    <w:qFormat/>
    <w:uiPriority w:val="0"/>
    <w:pPr>
      <w:ind w:firstLine="420" w:firstLineChars="200"/>
    </w:pPr>
    <w:rPr>
      <w:rFonts w:ascii="Calibri" w:hAnsi="Calibri" w:eastAsia="宋体" w:cs="Times New Roman"/>
      <w:sz w:val="32"/>
    </w:r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Plain Text"/>
    <w:basedOn w:val="1"/>
    <w:next w:val="4"/>
    <w:qFormat/>
    <w:uiPriority w:val="0"/>
    <w:rPr>
      <w:rFonts w:ascii="宋体" w:hAnsi="Courier New"/>
      <w:szCs w:val="20"/>
    </w:rPr>
  </w:style>
  <w:style w:type="paragraph" w:styleId="8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Times New Roman"/>
      <w:kern w:val="0"/>
      <w:sz w:val="24"/>
    </w:rPr>
  </w:style>
  <w:style w:type="paragraph" w:styleId="11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14">
    <w:name w:val="页眉 字符"/>
    <w:basedOn w:val="13"/>
    <w:link w:val="9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页脚 字符"/>
    <w:basedOn w:val="13"/>
    <w:link w:val="8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6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628</Words>
  <Characters>3582</Characters>
  <Lines>29</Lines>
  <Paragraphs>8</Paragraphs>
  <TotalTime>1</TotalTime>
  <ScaleCrop>false</ScaleCrop>
  <LinksUpToDate>false</LinksUpToDate>
  <CharactersWithSpaces>4202</CharactersWithSpaces>
  <Application>WPS Office_11.8.2.10682_F1E327BC-269C-435d-A152-05C5408002CA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2018-07-20T23:11:00Z</dcterms:created>
  <dc:creator>d</dc:creator>
  <cp:lastModifiedBy>huawei</cp:lastModifiedBy>
  <cp:lastPrinted>2024-02-23T00:25:00Z</cp:lastPrinted>
  <dcterms:modified xsi:type="dcterms:W3CDTF">2024-02-28T17:32:32Z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2052-11.8.2.10682</vt:lpwstr>
  </property>
</Properties>
</file>