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Theme="majorEastAsia" w:hAnsiTheme="majorEastAsia" w:eastAsiaTheme="majorEastAsia" w:cstheme="majorEastAsia"/>
          <w:b/>
          <w:sz w:val="44"/>
          <w:szCs w:val="42"/>
        </w:rPr>
      </w:pPr>
      <w:r>
        <w:rPr>
          <w:rFonts w:hint="eastAsia" w:asciiTheme="majorEastAsia" w:hAnsiTheme="majorEastAsia" w:eastAsiaTheme="majorEastAsia" w:cstheme="majorEastAsia"/>
          <w:b/>
          <w:sz w:val="44"/>
          <w:szCs w:val="42"/>
        </w:rPr>
        <w:t>宝安区非经营性国有储备土地监管工作规范</w:t>
      </w:r>
    </w:p>
    <w:p>
      <w:pPr>
        <w:spacing w:line="600" w:lineRule="exact"/>
        <w:jc w:val="center"/>
        <w:rPr>
          <w:rFonts w:hint="eastAsia" w:ascii="仿宋_GB2312" w:hAnsi="宋体" w:eastAsia="仿宋_GB2312"/>
          <w:sz w:val="32"/>
          <w:szCs w:val="32"/>
        </w:rPr>
      </w:pPr>
      <w:r>
        <w:rPr>
          <w:rFonts w:hint="eastAsia" w:ascii="仿宋_GB2312" w:hAnsi="宋体" w:eastAsia="仿宋_GB2312"/>
          <w:sz w:val="32"/>
          <w:szCs w:val="32"/>
        </w:rPr>
        <w:t>（征求</w:t>
      </w:r>
      <w:r>
        <w:rPr>
          <w:rFonts w:ascii="仿宋_GB2312" w:hAnsi="宋体" w:eastAsia="仿宋_GB2312"/>
          <w:sz w:val="32"/>
          <w:szCs w:val="32"/>
        </w:rPr>
        <w:t>意见稿</w:t>
      </w:r>
      <w:r>
        <w:rPr>
          <w:rFonts w:hint="eastAsia" w:ascii="仿宋_GB2312" w:hAnsi="宋体" w:eastAsia="仿宋_GB2312"/>
          <w:sz w:val="32"/>
          <w:szCs w:val="32"/>
        </w:rPr>
        <w:t>）</w:t>
      </w:r>
    </w:p>
    <w:p>
      <w:pPr>
        <w:pStyle w:val="2"/>
        <w:rPr>
          <w:rFonts w:hint="eastAsia"/>
        </w:rPr>
      </w:pPr>
    </w:p>
    <w:p>
      <w:pPr>
        <w:spacing w:before="156" w:beforeLines="50" w:after="156" w:afterLines="50" w:line="600" w:lineRule="exact"/>
        <w:jc w:val="center"/>
        <w:rPr>
          <w:rFonts w:hint="eastAsia" w:asciiTheme="majorEastAsia" w:hAnsiTheme="majorEastAsia" w:eastAsiaTheme="majorEastAsia" w:cstheme="majorEastAsia"/>
          <w:b/>
          <w:sz w:val="32"/>
          <w:szCs w:val="32"/>
        </w:rPr>
      </w:pPr>
      <w:r>
        <w:rPr>
          <w:rFonts w:hint="eastAsia" w:asciiTheme="majorEastAsia" w:hAnsiTheme="majorEastAsia" w:eastAsiaTheme="majorEastAsia" w:cstheme="majorEastAsia"/>
          <w:b/>
          <w:sz w:val="32"/>
          <w:szCs w:val="32"/>
        </w:rPr>
        <w:t>第一章  总  则</w:t>
      </w:r>
    </w:p>
    <w:p>
      <w:pPr>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b/>
          <w:sz w:val="32"/>
          <w:szCs w:val="32"/>
        </w:rPr>
        <w:t xml:space="preserve">第一条 </w:t>
      </w:r>
      <w:r>
        <w:rPr>
          <w:rFonts w:hint="eastAsia" w:ascii="华文仿宋" w:hAnsi="华文仿宋" w:eastAsia="华文仿宋" w:cs="华文仿宋"/>
          <w:sz w:val="32"/>
          <w:szCs w:val="32"/>
        </w:rPr>
        <w:t>【目的依据】为</w:t>
      </w:r>
      <w:r>
        <w:rPr>
          <w:rFonts w:hint="eastAsia" w:ascii="华文仿宋" w:hAnsi="华文仿宋" w:eastAsia="华文仿宋" w:cs="华文仿宋"/>
          <w:sz w:val="32"/>
          <w:szCs w:val="32"/>
          <w:lang w:val="en-US" w:eastAsia="zh-CN"/>
        </w:rPr>
        <w:t>加强</w:t>
      </w:r>
      <w:r>
        <w:rPr>
          <w:rFonts w:hint="eastAsia" w:ascii="华文仿宋" w:hAnsi="华文仿宋" w:eastAsia="华文仿宋" w:cs="华文仿宋"/>
          <w:sz w:val="32"/>
          <w:szCs w:val="32"/>
          <w:lang w:eastAsia="zh-CN"/>
        </w:rPr>
        <w:t>对非经营性国有储备</w:t>
      </w:r>
      <w:r>
        <w:rPr>
          <w:rFonts w:hint="eastAsia" w:ascii="华文仿宋" w:hAnsi="华文仿宋" w:eastAsia="华文仿宋" w:cs="华文仿宋"/>
          <w:sz w:val="32"/>
          <w:szCs w:val="32"/>
          <w:lang w:val="en-US" w:eastAsia="zh-CN"/>
        </w:rPr>
        <w:t>土地执法监管</w:t>
      </w:r>
      <w:r>
        <w:rPr>
          <w:rFonts w:hint="eastAsia" w:ascii="华文仿宋" w:hAnsi="华文仿宋" w:eastAsia="华文仿宋" w:cs="华文仿宋"/>
          <w:sz w:val="32"/>
          <w:szCs w:val="32"/>
          <w:lang w:eastAsia="zh-CN"/>
        </w:rPr>
        <w:t>，</w:t>
      </w:r>
      <w:r>
        <w:rPr>
          <w:rFonts w:hint="eastAsia" w:ascii="华文仿宋" w:hAnsi="华文仿宋" w:eastAsia="华文仿宋" w:cs="华文仿宋"/>
          <w:sz w:val="32"/>
          <w:szCs w:val="32"/>
          <w:lang w:val="en-US" w:eastAsia="zh-CN"/>
        </w:rPr>
        <w:t>坚决遏制违法用地行为，防止非法种养、乱搭乱建、乱倒淤泥渣土及垃圾等违法侵占土地行为，严守国有土地红线</w:t>
      </w:r>
      <w:r>
        <w:rPr>
          <w:rFonts w:hint="eastAsia" w:ascii="华文仿宋" w:hAnsi="华文仿宋" w:eastAsia="华文仿宋" w:cs="华文仿宋"/>
          <w:sz w:val="32"/>
          <w:szCs w:val="32"/>
        </w:rPr>
        <w:t>，</w:t>
      </w:r>
      <w:r>
        <w:rPr>
          <w:rFonts w:hint="eastAsia" w:ascii="华文仿宋" w:hAnsi="华文仿宋" w:eastAsia="华文仿宋" w:cs="华文仿宋"/>
          <w:sz w:val="32"/>
          <w:szCs w:val="32"/>
          <w:lang w:eastAsia="zh-CN"/>
        </w:rPr>
        <w:t>根据《深圳市全面深化规划国土体制机制改革方案》（深府函</w:t>
      </w:r>
      <w:r>
        <w:rPr>
          <w:rFonts w:hint="eastAsia" w:ascii="华文仿宋" w:hAnsi="华文仿宋" w:eastAsia="华文仿宋" w:cs="华文仿宋"/>
          <w:sz w:val="32"/>
          <w:szCs w:val="32"/>
        </w:rPr>
        <w:t>〔2016〕259号）、《研究协调强</w:t>
      </w:r>
      <w:bookmarkStart w:id="0" w:name="_GoBack"/>
      <w:bookmarkEnd w:id="0"/>
      <w:r>
        <w:rPr>
          <w:rFonts w:hint="eastAsia" w:ascii="华文仿宋" w:hAnsi="华文仿宋" w:eastAsia="华文仿宋" w:cs="华文仿宋"/>
          <w:sz w:val="32"/>
          <w:szCs w:val="32"/>
        </w:rPr>
        <w:t>区放权有关工作会议纪要》（深宝府会纪〔2017〕216号）、《深圳市储备土地管理与监管工作指引（试行）》（深规划资源〔2020〕667号）、《宝安区土地管理责任书》等规定，结合宝安区实际，制定本规范。</w:t>
      </w:r>
    </w:p>
    <w:p>
      <w:pPr>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b/>
          <w:sz w:val="32"/>
          <w:szCs w:val="32"/>
        </w:rPr>
        <w:t>第二条</w:t>
      </w:r>
      <w:r>
        <w:rPr>
          <w:rFonts w:hint="eastAsia" w:ascii="华文仿宋" w:hAnsi="华文仿宋" w:eastAsia="华文仿宋" w:cs="华文仿宋"/>
          <w:sz w:val="32"/>
          <w:szCs w:val="32"/>
        </w:rPr>
        <w:t xml:space="preserve"> 【适用范围】本规范适用于通过城市更新、土地整备、依法收回等方式纳入宝安区政府非经营性储备管理的土地。</w:t>
      </w:r>
    </w:p>
    <w:p>
      <w:pPr>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b/>
          <w:sz w:val="32"/>
          <w:szCs w:val="32"/>
        </w:rPr>
        <w:t xml:space="preserve">第三条 </w:t>
      </w:r>
      <w:r>
        <w:rPr>
          <w:rFonts w:hint="eastAsia" w:ascii="华文仿宋" w:hAnsi="华文仿宋" w:eastAsia="华文仿宋" w:cs="华文仿宋"/>
          <w:sz w:val="32"/>
          <w:szCs w:val="32"/>
        </w:rPr>
        <w:t>【工作原则】依据《深圳市全面深化规划国土体制机制改革方案》要求和《研究协调强区放权有关工作会议纪要》精神，规划为农地、林地、水库、公园等且未划定管理线的储备土地，以及已明确由各区负责建设的文教体卫、市政道路等城市基础设施和公共服务设施的储备土地，由宝安区政府委托属地街道办进行日常管理，区土地规划监察局负责统筹组织实施并开展执法监管工作。区土地规划监察局在完成移交手续后三十日内与辖区街道办签订《委托管理合同》。签订移交确认书至签订《委托管理合同》期间，由辖区街道办按照国有未出让土地的管理规定进行日常管理。</w:t>
      </w:r>
    </w:p>
    <w:p>
      <w:pPr>
        <w:spacing w:before="156" w:beforeLines="50" w:after="156" w:afterLines="50" w:line="600" w:lineRule="exact"/>
        <w:jc w:val="center"/>
        <w:rPr>
          <w:rFonts w:hint="eastAsia" w:asciiTheme="majorEastAsia" w:hAnsiTheme="majorEastAsia" w:eastAsiaTheme="majorEastAsia" w:cstheme="majorEastAsia"/>
          <w:b/>
          <w:sz w:val="32"/>
          <w:szCs w:val="32"/>
        </w:rPr>
      </w:pPr>
      <w:r>
        <w:rPr>
          <w:rFonts w:hint="eastAsia" w:asciiTheme="majorEastAsia" w:hAnsiTheme="majorEastAsia" w:eastAsiaTheme="majorEastAsia" w:cstheme="majorEastAsia"/>
          <w:b/>
          <w:sz w:val="32"/>
          <w:szCs w:val="32"/>
        </w:rPr>
        <w:t>第二章  工作目标和任务</w:t>
      </w:r>
    </w:p>
    <w:p>
      <w:pPr>
        <w:ind w:firstLine="640" w:firstLineChars="200"/>
        <w:rPr>
          <w:rFonts w:hint="eastAsia" w:ascii="华文仿宋" w:hAnsi="华文仿宋" w:eastAsia="华文仿宋" w:cs="华文仿宋"/>
          <w:sz w:val="32"/>
          <w:szCs w:val="32"/>
        </w:rPr>
      </w:pPr>
      <w:r>
        <w:rPr>
          <w:rFonts w:hint="eastAsia" w:ascii="华文仿宋" w:hAnsi="华文仿宋" w:eastAsia="华文仿宋" w:cs="华文仿宋"/>
          <w:b/>
          <w:sz w:val="32"/>
          <w:szCs w:val="32"/>
        </w:rPr>
        <w:t>第四条</w:t>
      </w:r>
      <w:r>
        <w:rPr>
          <w:rFonts w:hint="eastAsia" w:ascii="华文仿宋" w:hAnsi="华文仿宋" w:eastAsia="华文仿宋" w:cs="华文仿宋"/>
          <w:sz w:val="32"/>
          <w:szCs w:val="32"/>
        </w:rPr>
        <w:t xml:space="preserve"> 【工作目标】</w:t>
      </w:r>
      <w:r>
        <w:rPr>
          <w:rFonts w:hint="eastAsia" w:ascii="华文仿宋" w:hAnsi="华文仿宋" w:eastAsia="华文仿宋" w:cs="华文仿宋"/>
          <w:sz w:val="32"/>
          <w:szCs w:val="32"/>
          <w:lang w:val="en-US" w:eastAsia="zh-CN"/>
        </w:rPr>
        <w:t>加强辖区街道办“属地管理”职责，坚决遏制违法用地行为，防止非法种养、乱搭乱建、乱倒淤泥渣土及垃圾等违法侵占土地行为，严守国有土地红线，保证储备土地安全。</w:t>
      </w:r>
    </w:p>
    <w:p>
      <w:pPr>
        <w:keepNext w:val="0"/>
        <w:keepLines w:val="0"/>
        <w:widowControl/>
        <w:suppressLineNumbers w:val="0"/>
        <w:ind w:firstLine="640" w:firstLineChars="200"/>
        <w:jc w:val="left"/>
        <w:rPr>
          <w:rFonts w:hint="eastAsia" w:ascii="华文仿宋" w:hAnsi="华文仿宋" w:eastAsia="华文仿宋" w:cs="华文仿宋"/>
          <w:sz w:val="32"/>
          <w:szCs w:val="32"/>
          <w:lang w:val="en-US" w:eastAsia="zh-CN"/>
        </w:rPr>
      </w:pPr>
      <w:r>
        <w:rPr>
          <w:rFonts w:hint="eastAsia" w:ascii="华文仿宋" w:hAnsi="华文仿宋" w:eastAsia="华文仿宋" w:cs="华文仿宋"/>
          <w:b/>
          <w:sz w:val="32"/>
          <w:szCs w:val="32"/>
        </w:rPr>
        <w:t>第五条</w:t>
      </w:r>
      <w:r>
        <w:rPr>
          <w:rFonts w:hint="eastAsia" w:ascii="华文仿宋" w:hAnsi="华文仿宋" w:eastAsia="华文仿宋" w:cs="华文仿宋"/>
          <w:sz w:val="32"/>
          <w:szCs w:val="32"/>
        </w:rPr>
        <w:t xml:space="preserve"> 【工作任务】</w:t>
      </w:r>
      <w:r>
        <w:rPr>
          <w:rFonts w:hint="eastAsia" w:ascii="华文仿宋" w:hAnsi="华文仿宋" w:eastAsia="华文仿宋" w:cs="华文仿宋"/>
          <w:sz w:val="32"/>
          <w:szCs w:val="32"/>
          <w:lang w:val="en-US" w:eastAsia="zh-CN"/>
        </w:rPr>
        <w:t>全面贯彻落实土地储备部门业务指导，全面加强非经营性国有储备土地统筹监管，提高行政执法质量，熟悉国有储备土地查处全链条业务，进一步提高依法执法意识，加强土地执法监管，依法依规查处违法侵占储备土地行为。</w:t>
      </w:r>
    </w:p>
    <w:p>
      <w:pPr>
        <w:spacing w:before="156" w:beforeLines="50" w:after="156" w:afterLines="50" w:line="600" w:lineRule="exact"/>
        <w:jc w:val="center"/>
        <w:rPr>
          <w:rFonts w:hint="eastAsia" w:asciiTheme="majorEastAsia" w:hAnsiTheme="majorEastAsia" w:eastAsiaTheme="majorEastAsia" w:cstheme="majorEastAsia"/>
          <w:b/>
          <w:sz w:val="32"/>
          <w:szCs w:val="32"/>
        </w:rPr>
      </w:pPr>
      <w:r>
        <w:rPr>
          <w:rFonts w:hint="eastAsia" w:asciiTheme="majorEastAsia" w:hAnsiTheme="majorEastAsia" w:eastAsiaTheme="majorEastAsia" w:cstheme="majorEastAsia"/>
          <w:b/>
          <w:sz w:val="32"/>
          <w:szCs w:val="32"/>
        </w:rPr>
        <w:t>第三章  工作职责</w:t>
      </w:r>
    </w:p>
    <w:p>
      <w:pPr>
        <w:keepNext w:val="0"/>
        <w:keepLines w:val="0"/>
        <w:widowControl/>
        <w:suppressLineNumbers w:val="0"/>
        <w:ind w:firstLine="640" w:firstLineChars="200"/>
        <w:jc w:val="left"/>
        <w:rPr>
          <w:rFonts w:hint="eastAsia" w:ascii="华文仿宋" w:hAnsi="华文仿宋" w:eastAsia="华文仿宋" w:cs="华文仿宋"/>
          <w:sz w:val="32"/>
          <w:szCs w:val="32"/>
        </w:rPr>
      </w:pPr>
      <w:r>
        <w:rPr>
          <w:rFonts w:hint="eastAsia" w:ascii="华文仿宋" w:hAnsi="华文仿宋" w:eastAsia="华文仿宋" w:cs="华文仿宋"/>
          <w:b/>
          <w:sz w:val="32"/>
          <w:szCs w:val="32"/>
        </w:rPr>
        <w:t>第六条</w:t>
      </w:r>
      <w:r>
        <w:rPr>
          <w:rFonts w:hint="eastAsia" w:ascii="华文仿宋" w:hAnsi="华文仿宋" w:eastAsia="华文仿宋" w:cs="华文仿宋"/>
          <w:sz w:val="32"/>
          <w:szCs w:val="32"/>
        </w:rPr>
        <w:t xml:space="preserve"> 【辖区街道办】</w:t>
      </w:r>
    </w:p>
    <w:p>
      <w:pPr>
        <w:keepNext w:val="0"/>
        <w:keepLines w:val="0"/>
        <w:widowControl/>
        <w:suppressLineNumbers w:val="0"/>
        <w:ind w:firstLine="640" w:firstLineChars="200"/>
        <w:jc w:val="left"/>
        <w:rPr>
          <w:rFonts w:hint="eastAsia" w:ascii="华文仿宋" w:hAnsi="华文仿宋" w:eastAsia="华文仿宋" w:cs="华文仿宋"/>
          <w:sz w:val="32"/>
          <w:szCs w:val="32"/>
        </w:rPr>
      </w:pPr>
      <w:r>
        <w:rPr>
          <w:rFonts w:hint="eastAsia" w:ascii="华文仿宋" w:hAnsi="华文仿宋" w:eastAsia="华文仿宋" w:cs="华文仿宋"/>
          <w:sz w:val="32"/>
          <w:szCs w:val="32"/>
        </w:rPr>
        <w:t>（一）接收已入库宝安区非经营性国有储备土地的委托管理，</w:t>
      </w:r>
      <w:r>
        <w:rPr>
          <w:rFonts w:hint="eastAsia" w:ascii="华文仿宋" w:hAnsi="华文仿宋" w:eastAsia="华文仿宋" w:cs="华文仿宋"/>
          <w:sz w:val="32"/>
          <w:szCs w:val="32"/>
          <w:lang w:eastAsia="zh-CN"/>
        </w:rPr>
        <w:t>履行</w:t>
      </w:r>
      <w:r>
        <w:rPr>
          <w:rFonts w:hint="eastAsia" w:ascii="华文仿宋" w:hAnsi="华文仿宋" w:eastAsia="华文仿宋" w:cs="华文仿宋"/>
          <w:sz w:val="32"/>
          <w:szCs w:val="32"/>
          <w:lang w:val="en-US" w:eastAsia="zh-CN"/>
        </w:rPr>
        <w:t>“属地管辖”责任，将非经营性国有储备土地日常管理职能与综合执法相结合，</w:t>
      </w:r>
      <w:r>
        <w:rPr>
          <w:rFonts w:hint="eastAsia" w:ascii="华文仿宋" w:hAnsi="华文仿宋" w:eastAsia="华文仿宋" w:cs="华文仿宋"/>
          <w:sz w:val="32"/>
          <w:szCs w:val="32"/>
          <w:lang w:eastAsia="zh-CN"/>
        </w:rPr>
        <w:t>做好</w:t>
      </w:r>
      <w:r>
        <w:rPr>
          <w:rFonts w:hint="eastAsia" w:ascii="华文仿宋" w:hAnsi="华文仿宋" w:eastAsia="华文仿宋" w:cs="华文仿宋"/>
          <w:sz w:val="32"/>
          <w:szCs w:val="32"/>
          <w:lang w:val="en-US" w:eastAsia="zh-CN"/>
        </w:rPr>
        <w:t>日常管理工作</w:t>
      </w:r>
      <w:r>
        <w:rPr>
          <w:rFonts w:hint="eastAsia" w:ascii="华文仿宋" w:hAnsi="华文仿宋" w:eastAsia="华文仿宋" w:cs="华文仿宋"/>
          <w:sz w:val="32"/>
          <w:szCs w:val="32"/>
          <w:lang w:eastAsia="zh-CN"/>
        </w:rPr>
        <w:t>；</w:t>
      </w:r>
    </w:p>
    <w:p>
      <w:pPr>
        <w:keepNext w:val="0"/>
        <w:keepLines w:val="0"/>
        <w:widowControl/>
        <w:suppressLineNumbers w:val="0"/>
        <w:ind w:firstLine="640" w:firstLineChars="200"/>
        <w:jc w:val="left"/>
        <w:rPr>
          <w:rFonts w:hint="eastAsia" w:ascii="华文仿宋" w:hAnsi="华文仿宋" w:eastAsia="华文仿宋" w:cs="华文仿宋"/>
          <w:sz w:val="32"/>
          <w:szCs w:val="32"/>
        </w:rPr>
      </w:pPr>
      <w:r>
        <w:rPr>
          <w:rFonts w:hint="eastAsia" w:ascii="华文仿宋" w:hAnsi="华文仿宋" w:eastAsia="华文仿宋" w:cs="华文仿宋"/>
          <w:sz w:val="32"/>
          <w:szCs w:val="32"/>
        </w:rPr>
        <w:t>（二）</w:t>
      </w:r>
      <w:r>
        <w:rPr>
          <w:rFonts w:hint="eastAsia" w:ascii="华文仿宋" w:hAnsi="华文仿宋" w:eastAsia="华文仿宋" w:cs="华文仿宋"/>
          <w:sz w:val="32"/>
          <w:szCs w:val="32"/>
          <w:lang w:eastAsia="zh-CN"/>
        </w:rPr>
        <w:t>组建专门管理人员，加强队伍</w:t>
      </w:r>
      <w:r>
        <w:rPr>
          <w:rFonts w:hint="eastAsia" w:ascii="华文仿宋" w:hAnsi="华文仿宋" w:eastAsia="华文仿宋" w:cs="华文仿宋"/>
          <w:sz w:val="32"/>
          <w:szCs w:val="32"/>
          <w:lang w:val="en-US" w:eastAsia="zh-CN"/>
        </w:rPr>
        <w:t>管理，建章建制，</w:t>
      </w:r>
      <w:r>
        <w:rPr>
          <w:rFonts w:hint="eastAsia" w:ascii="华文仿宋" w:hAnsi="华文仿宋" w:eastAsia="华文仿宋" w:cs="华文仿宋"/>
          <w:sz w:val="32"/>
          <w:szCs w:val="32"/>
          <w:lang w:eastAsia="zh-CN"/>
        </w:rPr>
        <w:t>明确现场管理责任；</w:t>
      </w:r>
    </w:p>
    <w:p>
      <w:pPr>
        <w:keepNext w:val="0"/>
        <w:keepLines w:val="0"/>
        <w:widowControl/>
        <w:suppressLineNumbers w:val="0"/>
        <w:ind w:firstLine="640" w:firstLineChars="200"/>
        <w:jc w:val="left"/>
        <w:rPr>
          <w:rFonts w:hint="eastAsia" w:ascii="华文仿宋" w:hAnsi="华文仿宋" w:eastAsia="华文仿宋" w:cs="华文仿宋"/>
          <w:sz w:val="32"/>
          <w:szCs w:val="32"/>
          <w:lang w:eastAsia="zh-CN"/>
        </w:rPr>
      </w:pPr>
      <w:r>
        <w:rPr>
          <w:rFonts w:hint="eastAsia" w:ascii="华文仿宋" w:hAnsi="华文仿宋" w:eastAsia="华文仿宋" w:cs="华文仿宋"/>
          <w:sz w:val="32"/>
          <w:szCs w:val="32"/>
        </w:rPr>
        <w:t>（三）</w:t>
      </w:r>
      <w:r>
        <w:rPr>
          <w:rFonts w:hint="eastAsia" w:ascii="华文仿宋" w:hAnsi="华文仿宋" w:eastAsia="华文仿宋" w:cs="华文仿宋"/>
          <w:sz w:val="32"/>
          <w:szCs w:val="32"/>
          <w:lang w:val="en-US" w:eastAsia="zh-CN"/>
        </w:rPr>
        <w:t>严格逐级落实责任分工，明晰工作目标，采用专业化模式分别做好做实内业和外业工作</w:t>
      </w:r>
      <w:r>
        <w:rPr>
          <w:rFonts w:hint="eastAsia" w:ascii="华文仿宋" w:hAnsi="华文仿宋" w:eastAsia="华文仿宋" w:cs="华文仿宋"/>
          <w:sz w:val="32"/>
          <w:szCs w:val="32"/>
          <w:lang w:eastAsia="zh-CN"/>
        </w:rPr>
        <w:t>；</w:t>
      </w:r>
    </w:p>
    <w:p>
      <w:pPr>
        <w:keepNext w:val="0"/>
        <w:keepLines w:val="0"/>
        <w:widowControl/>
        <w:suppressLineNumbers w:val="0"/>
        <w:ind w:firstLine="640" w:firstLineChars="200"/>
        <w:jc w:val="left"/>
        <w:rPr>
          <w:rFonts w:hint="eastAsia" w:ascii="华文仿宋" w:hAnsi="华文仿宋" w:eastAsia="华文仿宋" w:cs="华文仿宋"/>
          <w:sz w:val="32"/>
          <w:szCs w:val="32"/>
          <w:lang w:eastAsia="zh-CN"/>
        </w:rPr>
      </w:pPr>
      <w:r>
        <w:rPr>
          <w:rFonts w:hint="eastAsia" w:ascii="华文仿宋" w:hAnsi="华文仿宋" w:eastAsia="华文仿宋" w:cs="华文仿宋"/>
          <w:sz w:val="32"/>
          <w:szCs w:val="32"/>
        </w:rPr>
        <w:t>（四）按实际管理需要，</w:t>
      </w:r>
      <w:r>
        <w:rPr>
          <w:rFonts w:hint="eastAsia" w:ascii="华文仿宋" w:hAnsi="华文仿宋" w:eastAsia="华文仿宋" w:cs="华文仿宋"/>
          <w:sz w:val="32"/>
          <w:szCs w:val="32"/>
          <w:lang w:eastAsia="zh-CN"/>
        </w:rPr>
        <w:t>对</w:t>
      </w:r>
      <w:r>
        <w:rPr>
          <w:rFonts w:hint="eastAsia" w:ascii="华文仿宋" w:hAnsi="华文仿宋" w:eastAsia="华文仿宋" w:cs="华文仿宋"/>
          <w:sz w:val="32"/>
          <w:szCs w:val="32"/>
          <w:lang w:val="en-US" w:eastAsia="zh-CN"/>
        </w:rPr>
        <w:t>非经营性国有储备土地采取放置国有土地标识牌</w:t>
      </w:r>
      <w:r>
        <w:rPr>
          <w:rFonts w:hint="eastAsia" w:ascii="华文仿宋" w:hAnsi="华文仿宋" w:eastAsia="华文仿宋" w:cs="华文仿宋"/>
          <w:sz w:val="32"/>
          <w:szCs w:val="32"/>
          <w:lang w:eastAsia="zh-CN"/>
        </w:rPr>
        <w:t>、界桩</w:t>
      </w:r>
      <w:r>
        <w:rPr>
          <w:rFonts w:hint="eastAsia" w:ascii="华文仿宋" w:hAnsi="华文仿宋" w:eastAsia="华文仿宋" w:cs="华文仿宋"/>
          <w:sz w:val="32"/>
          <w:szCs w:val="32"/>
          <w:lang w:val="en-US" w:eastAsia="zh-CN"/>
        </w:rPr>
        <w:t>，对部分有条件的国有土地进行围合式管理，不能围网的地块，在路口放置石墩阻止乱倒渣土、垃圾等</w:t>
      </w:r>
      <w:r>
        <w:rPr>
          <w:rFonts w:hint="eastAsia" w:ascii="华文仿宋" w:hAnsi="华文仿宋" w:eastAsia="华文仿宋" w:cs="华文仿宋"/>
          <w:sz w:val="32"/>
          <w:szCs w:val="32"/>
          <w:lang w:eastAsia="zh-CN"/>
        </w:rPr>
        <w:t>；</w:t>
      </w:r>
    </w:p>
    <w:p>
      <w:pPr>
        <w:keepNext w:val="0"/>
        <w:keepLines w:val="0"/>
        <w:widowControl/>
        <w:suppressLineNumbers w:val="0"/>
        <w:ind w:firstLine="640" w:firstLineChars="200"/>
        <w:jc w:val="left"/>
        <w:rPr>
          <w:rFonts w:hint="eastAsia" w:ascii="华文仿宋" w:hAnsi="华文仿宋" w:eastAsia="华文仿宋" w:cs="华文仿宋"/>
          <w:sz w:val="32"/>
          <w:szCs w:val="32"/>
          <w:lang w:eastAsia="zh-CN"/>
        </w:rPr>
      </w:pPr>
      <w:r>
        <w:rPr>
          <w:rFonts w:hint="eastAsia" w:ascii="华文仿宋" w:hAnsi="华文仿宋" w:eastAsia="华文仿宋" w:cs="华文仿宋"/>
          <w:sz w:val="32"/>
          <w:szCs w:val="32"/>
          <w:lang w:eastAsia="zh-CN"/>
        </w:rPr>
        <w:t>（五）制止向非经营性储备土地排放倾倒工业废渣、城市垃圾和其他废弃物等污染物的行为；</w:t>
      </w:r>
    </w:p>
    <w:p>
      <w:pPr>
        <w:keepNext w:val="0"/>
        <w:keepLines w:val="0"/>
        <w:widowControl/>
        <w:suppressLineNumbers w:val="0"/>
        <w:ind w:firstLine="640" w:firstLineChars="200"/>
        <w:jc w:val="left"/>
        <w:rPr>
          <w:rFonts w:hint="eastAsia" w:ascii="华文仿宋" w:hAnsi="华文仿宋" w:eastAsia="华文仿宋" w:cs="华文仿宋"/>
          <w:sz w:val="32"/>
          <w:szCs w:val="32"/>
          <w:lang w:eastAsia="zh-CN"/>
        </w:rPr>
      </w:pPr>
      <w:r>
        <w:rPr>
          <w:rFonts w:hint="eastAsia" w:ascii="华文仿宋" w:hAnsi="华文仿宋" w:eastAsia="华文仿宋" w:cs="华文仿宋"/>
          <w:sz w:val="32"/>
          <w:szCs w:val="32"/>
          <w:lang w:eastAsia="zh-CN"/>
        </w:rPr>
        <w:t>（六）对非经营性国有储备土地上的市政设施、基础设施以及其他已补偿的经济作物、建（构）筑物等，做好日常管理和安全保护，防止被破坏；</w:t>
      </w:r>
    </w:p>
    <w:p>
      <w:pPr>
        <w:pStyle w:val="2"/>
        <w:rPr>
          <w:rFonts w:hint="eastAsia" w:ascii="华文仿宋" w:hAnsi="华文仿宋" w:eastAsia="华文仿宋" w:cs="华文仿宋"/>
          <w:sz w:val="32"/>
          <w:szCs w:val="32"/>
          <w:lang w:val="en-US" w:eastAsia="zh-CN"/>
        </w:rPr>
      </w:pPr>
      <w:r>
        <w:rPr>
          <w:rFonts w:hint="eastAsia" w:ascii="华文仿宋" w:hAnsi="华文仿宋" w:eastAsia="华文仿宋" w:cs="华文仿宋"/>
          <w:sz w:val="32"/>
          <w:szCs w:val="32"/>
          <w:lang w:eastAsia="zh-CN"/>
        </w:rPr>
        <w:t>（七）对区政府已委托辖区街道办日常管理的非经营性国有储备土地需保持巡查力度，每月至少巡查</w:t>
      </w:r>
      <w:r>
        <w:rPr>
          <w:rFonts w:hint="eastAsia" w:ascii="华文仿宋" w:hAnsi="华文仿宋" w:eastAsia="华文仿宋" w:cs="华文仿宋"/>
          <w:sz w:val="32"/>
          <w:szCs w:val="32"/>
          <w:lang w:val="en-US" w:eastAsia="zh-CN"/>
        </w:rPr>
        <w:t>1次，做好巡查记录，并落实执法监管；</w:t>
      </w:r>
    </w:p>
    <w:p>
      <w:pPr>
        <w:ind w:firstLine="640" w:firstLineChars="200"/>
        <w:rPr>
          <w:rFonts w:hint="eastAsia" w:ascii="华文仿宋" w:hAnsi="华文仿宋" w:eastAsia="华文仿宋" w:cs="华文仿宋"/>
          <w:sz w:val="32"/>
          <w:szCs w:val="32"/>
          <w:lang w:val="en-US" w:eastAsia="zh-CN"/>
        </w:rPr>
      </w:pPr>
      <w:r>
        <w:rPr>
          <w:rFonts w:hint="eastAsia" w:ascii="华文仿宋" w:hAnsi="华文仿宋" w:eastAsia="华文仿宋" w:cs="华文仿宋"/>
          <w:sz w:val="32"/>
          <w:szCs w:val="32"/>
          <w:lang w:val="en-US" w:eastAsia="zh-CN"/>
        </w:rPr>
        <w:t>（八）在辖区街道办内的在库非经营性国有储备土地中，对现状为空地、山林地等容易产生违法行为的地块，需加强日常监控，提前发现并制止违法图斑产生，防止违法侵占土地行为，每两周至少巡查1次，做好巡查记录，并落实执法监管；</w:t>
      </w:r>
    </w:p>
    <w:p>
      <w:pPr>
        <w:pStyle w:val="2"/>
        <w:rPr>
          <w:rFonts w:hint="eastAsia" w:ascii="华文仿宋" w:hAnsi="华文仿宋" w:eastAsia="华文仿宋" w:cs="华文仿宋"/>
          <w:sz w:val="32"/>
          <w:szCs w:val="32"/>
          <w:lang w:val="en-US" w:eastAsia="zh-CN"/>
        </w:rPr>
      </w:pPr>
      <w:r>
        <w:rPr>
          <w:rFonts w:hint="eastAsia" w:ascii="华文仿宋" w:hAnsi="华文仿宋" w:eastAsia="华文仿宋" w:cs="华文仿宋"/>
          <w:sz w:val="32"/>
          <w:szCs w:val="32"/>
          <w:lang w:val="en-US" w:eastAsia="zh-CN"/>
        </w:rPr>
        <w:t>（九）在日常巡查过程中发现涉嫌违法侵占行为，需第一时间组织进一步的调查，查明违法情况属实的应立即通知查办人员组织开展执法工作，并向相关职能部门报告；</w:t>
      </w:r>
    </w:p>
    <w:p>
      <w:pPr>
        <w:pStyle w:val="2"/>
        <w:rPr>
          <w:rFonts w:hint="eastAsia" w:ascii="华文仿宋" w:hAnsi="华文仿宋" w:eastAsia="华文仿宋" w:cs="华文仿宋"/>
          <w:sz w:val="32"/>
          <w:szCs w:val="32"/>
          <w:lang w:val="en-US" w:eastAsia="zh-CN"/>
        </w:rPr>
      </w:pPr>
      <w:r>
        <w:rPr>
          <w:rFonts w:hint="eastAsia" w:ascii="华文仿宋" w:hAnsi="华文仿宋" w:eastAsia="华文仿宋" w:cs="华文仿宋"/>
          <w:sz w:val="32"/>
          <w:szCs w:val="32"/>
          <w:lang w:val="en-US" w:eastAsia="zh-CN"/>
        </w:rPr>
        <w:t>（十）相关责任管理部门对非经营性国有储备土地管理工作开展不定期抽查及专项检查中，发现并已认定存在安全隐患的地块，需积极配合相关责任部门进行整治；</w:t>
      </w:r>
    </w:p>
    <w:p>
      <w:pPr>
        <w:keepNext w:val="0"/>
        <w:keepLines w:val="0"/>
        <w:widowControl/>
        <w:suppressLineNumbers w:val="0"/>
        <w:ind w:firstLine="640" w:firstLineChars="200"/>
        <w:jc w:val="left"/>
        <w:rPr>
          <w:rFonts w:hint="eastAsia" w:ascii="华文仿宋" w:hAnsi="华文仿宋" w:eastAsia="华文仿宋" w:cs="华文仿宋"/>
          <w:sz w:val="32"/>
          <w:szCs w:val="32"/>
          <w:lang w:eastAsia="zh-CN"/>
        </w:rPr>
      </w:pPr>
      <w:r>
        <w:rPr>
          <w:rFonts w:hint="eastAsia" w:ascii="华文仿宋" w:hAnsi="华文仿宋" w:eastAsia="华文仿宋" w:cs="华文仿宋"/>
          <w:sz w:val="32"/>
          <w:szCs w:val="32"/>
          <w:lang w:eastAsia="zh-CN"/>
        </w:rPr>
        <w:t>（十一）建立并及时更新非经营性储备土地安全信息台账。台账要做到“四清楚”，即隐患地块编号和地块位置要清楚、安全隐患内容和数量要清楚、安全防护（整治）措施和标准要清楚、巡查或整治责任主体要清楚。</w:t>
      </w:r>
    </w:p>
    <w:p>
      <w:pPr>
        <w:keepNext w:val="0"/>
        <w:keepLines w:val="0"/>
        <w:widowControl/>
        <w:suppressLineNumbers w:val="0"/>
        <w:ind w:firstLine="640" w:firstLineChars="200"/>
        <w:jc w:val="left"/>
        <w:rPr>
          <w:rFonts w:hint="eastAsia" w:ascii="华文仿宋" w:hAnsi="华文仿宋" w:eastAsia="华文仿宋" w:cs="华文仿宋"/>
          <w:sz w:val="32"/>
          <w:szCs w:val="32"/>
          <w:lang w:eastAsia="zh-CN"/>
        </w:rPr>
      </w:pPr>
      <w:r>
        <w:rPr>
          <w:rFonts w:hint="eastAsia" w:ascii="华文仿宋" w:hAnsi="华文仿宋" w:eastAsia="华文仿宋" w:cs="华文仿宋"/>
          <w:sz w:val="32"/>
          <w:szCs w:val="32"/>
          <w:lang w:eastAsia="zh-CN"/>
        </w:rPr>
        <w:t>（十二）各辖区街道办应定期向区土地规划监察局提交月报、半年报及年度总结。每月5日前完成上月情况报送；每年7月5日前完成上半年情况报送；每年1月5日前完成上年度情况报送。报送内容应包括当期非经营性国有储备土地台账、涉嫌违法侵占行为处理情况以及日常管理中遇到的问题及建议等。区土地规划监察局应及时汇总各辖区街道办报送的信息，形成全区非经营性国有储备土地管理情况书面报告上报。</w:t>
      </w:r>
    </w:p>
    <w:p>
      <w:pPr>
        <w:keepNext w:val="0"/>
        <w:keepLines w:val="0"/>
        <w:widowControl/>
        <w:suppressLineNumbers w:val="0"/>
        <w:ind w:firstLine="640" w:firstLineChars="200"/>
        <w:jc w:val="left"/>
        <w:rPr>
          <w:rFonts w:hint="eastAsia" w:ascii="华文仿宋" w:hAnsi="华文仿宋" w:eastAsia="华文仿宋" w:cs="华文仿宋"/>
          <w:sz w:val="32"/>
          <w:szCs w:val="32"/>
          <w:lang w:val="en-US" w:eastAsia="zh-CN"/>
        </w:rPr>
      </w:pPr>
      <w:r>
        <w:rPr>
          <w:rFonts w:hint="eastAsia" w:ascii="华文仿宋" w:hAnsi="华文仿宋" w:eastAsia="华文仿宋" w:cs="华文仿宋"/>
          <w:b/>
          <w:sz w:val="32"/>
          <w:szCs w:val="32"/>
        </w:rPr>
        <w:t>第七条</w:t>
      </w:r>
      <w:r>
        <w:rPr>
          <w:rFonts w:hint="eastAsia" w:ascii="华文仿宋" w:hAnsi="华文仿宋" w:eastAsia="华文仿宋" w:cs="华文仿宋"/>
          <w:sz w:val="32"/>
          <w:szCs w:val="32"/>
        </w:rPr>
        <w:t xml:space="preserve"> 【区土地规划监察局】</w:t>
      </w:r>
    </w:p>
    <w:p>
      <w:pPr>
        <w:keepNext w:val="0"/>
        <w:keepLines w:val="0"/>
        <w:widowControl/>
        <w:suppressLineNumbers w:val="0"/>
        <w:ind w:firstLine="640" w:firstLineChars="200"/>
        <w:jc w:val="left"/>
        <w:rPr>
          <w:rFonts w:hint="eastAsia" w:ascii="华文仿宋" w:hAnsi="华文仿宋" w:eastAsia="华文仿宋" w:cs="华文仿宋"/>
          <w:sz w:val="32"/>
          <w:szCs w:val="32"/>
        </w:rPr>
      </w:pPr>
      <w:r>
        <w:rPr>
          <w:rFonts w:hint="eastAsia" w:ascii="华文仿宋" w:hAnsi="华文仿宋" w:eastAsia="华文仿宋" w:cs="华文仿宋"/>
          <w:sz w:val="32"/>
          <w:szCs w:val="32"/>
        </w:rPr>
        <w:t>（一）配合入库申请部门和市土地储备中心按《深圳市储备土地管理与监管工作指引（试行）》工作要求，办理非经营性储备土地现状验收、移交和土地入、出库等手续，接受市土地储备中心的指导、检查，对符合入库条件的地块做好统筹组织实施和执法监管，代区政府委托属地街道办开展日常管理；</w:t>
      </w:r>
    </w:p>
    <w:p>
      <w:pPr>
        <w:keepNext w:val="0"/>
        <w:keepLines w:val="0"/>
        <w:widowControl/>
        <w:suppressLineNumbers w:val="0"/>
        <w:ind w:firstLine="640" w:firstLineChars="200"/>
        <w:jc w:val="left"/>
        <w:rPr>
          <w:rFonts w:hint="eastAsia" w:ascii="华文仿宋" w:hAnsi="华文仿宋" w:eastAsia="华文仿宋" w:cs="华文仿宋"/>
          <w:sz w:val="32"/>
          <w:szCs w:val="32"/>
        </w:rPr>
      </w:pPr>
      <w:r>
        <w:rPr>
          <w:rFonts w:hint="eastAsia" w:ascii="华文仿宋" w:hAnsi="华文仿宋" w:eastAsia="华文仿宋" w:cs="华文仿宋"/>
          <w:sz w:val="32"/>
          <w:szCs w:val="32"/>
        </w:rPr>
        <w:t>（二）借鉴土地卫片执法工作模式，以每年最新卫星影像图为基础，与上一年影像图相比对，通过卫星影像图比对方式强化地块执法监管；</w:t>
      </w:r>
    </w:p>
    <w:p>
      <w:pPr>
        <w:keepNext w:val="0"/>
        <w:keepLines w:val="0"/>
        <w:widowControl/>
        <w:suppressLineNumbers w:val="0"/>
        <w:ind w:firstLine="640" w:firstLineChars="200"/>
        <w:jc w:val="left"/>
        <w:rPr>
          <w:rFonts w:hint="eastAsia" w:ascii="华文仿宋" w:hAnsi="华文仿宋" w:eastAsia="华文仿宋" w:cs="华文仿宋"/>
          <w:sz w:val="32"/>
          <w:szCs w:val="32"/>
        </w:rPr>
      </w:pPr>
      <w:r>
        <w:rPr>
          <w:rFonts w:hint="eastAsia" w:ascii="华文仿宋" w:hAnsi="华文仿宋" w:eastAsia="华文仿宋" w:cs="华文仿宋"/>
          <w:sz w:val="32"/>
          <w:szCs w:val="32"/>
        </w:rPr>
        <w:t>（三）建立信息报送制度，组织各街道土地规划监察队强化对辖区非经营性国有储备土地的日常巡查，完善信息报送渠道，要求街道定期报送辖区非经营性国有储备土地管理情况和总结报告，汇总情况后报市土地储备中心；</w:t>
      </w:r>
    </w:p>
    <w:p>
      <w:pPr>
        <w:keepNext w:val="0"/>
        <w:keepLines w:val="0"/>
        <w:widowControl/>
        <w:suppressLineNumbers w:val="0"/>
        <w:ind w:firstLine="640" w:firstLineChars="200"/>
        <w:jc w:val="left"/>
        <w:rPr>
          <w:rFonts w:hint="eastAsia" w:ascii="华文仿宋" w:hAnsi="华文仿宋" w:eastAsia="华文仿宋" w:cs="华文仿宋"/>
          <w:sz w:val="32"/>
          <w:szCs w:val="32"/>
        </w:rPr>
      </w:pPr>
      <w:r>
        <w:rPr>
          <w:rFonts w:hint="eastAsia" w:ascii="华文仿宋" w:hAnsi="华文仿宋" w:eastAsia="华文仿宋" w:cs="华文仿宋"/>
          <w:sz w:val="32"/>
          <w:szCs w:val="32"/>
        </w:rPr>
        <w:t>（四）督导街道建立管理制度，按照实事求是、具体问题具体分析的工作原则，指导街道结合辖区非经营性国有储备土地的实际情况，完善街道的管理机构、管理制度及日常巡查制度建设，强化对存在安全隐患及违法行为的查处；</w:t>
      </w:r>
    </w:p>
    <w:p>
      <w:pPr>
        <w:spacing w:before="156" w:beforeLines="50" w:after="156" w:afterLines="50" w:line="600" w:lineRule="exact"/>
        <w:ind w:firstLine="640" w:firstLineChars="200"/>
        <w:jc w:val="left"/>
        <w:rPr>
          <w:rFonts w:hint="eastAsia" w:ascii="华文仿宋" w:hAnsi="华文仿宋" w:eastAsia="华文仿宋" w:cs="华文仿宋"/>
          <w:sz w:val="32"/>
          <w:szCs w:val="32"/>
        </w:rPr>
      </w:pPr>
      <w:r>
        <w:rPr>
          <w:rFonts w:hint="eastAsia" w:ascii="华文仿宋" w:hAnsi="华文仿宋" w:eastAsia="华文仿宋" w:cs="华文仿宋"/>
          <w:sz w:val="32"/>
          <w:szCs w:val="32"/>
        </w:rPr>
        <w:t>（五）区土地规划监察局每半年定期对各辖区街道办的非经营性储备土地管理工作开展检查，可根据工作需要对全区非经营性国有储备土地管理工作不定期抽查及专项检查，在检查中发现问题的，应及时反馈辖区街道办进行整改。</w:t>
      </w:r>
    </w:p>
    <w:p>
      <w:pPr>
        <w:spacing w:before="156" w:beforeLines="50" w:after="156" w:afterLines="50" w:line="600" w:lineRule="exact"/>
        <w:ind w:firstLine="640" w:firstLineChars="200"/>
        <w:jc w:val="left"/>
        <w:rPr>
          <w:rFonts w:hint="eastAsia" w:ascii="华文仿宋" w:hAnsi="华文仿宋" w:eastAsia="华文仿宋" w:cs="华文仿宋"/>
          <w:sz w:val="32"/>
          <w:szCs w:val="32"/>
          <w:lang w:eastAsia="zh-CN"/>
        </w:rPr>
      </w:pPr>
      <w:r>
        <w:rPr>
          <w:rFonts w:hint="eastAsia" w:ascii="华文仿宋" w:hAnsi="华文仿宋" w:eastAsia="华文仿宋" w:cs="华文仿宋"/>
          <w:sz w:val="32"/>
          <w:szCs w:val="32"/>
        </w:rPr>
        <w:t>（六）</w:t>
      </w:r>
      <w:r>
        <w:rPr>
          <w:rFonts w:hint="eastAsia" w:ascii="华文仿宋" w:hAnsi="华文仿宋" w:eastAsia="华文仿宋" w:cs="华文仿宋"/>
          <w:sz w:val="32"/>
          <w:szCs w:val="32"/>
          <w:lang w:eastAsia="zh-CN"/>
        </w:rPr>
        <w:t>相关责任监督部门对非经营性国有储备土地管理工作开展不定期抽查及专项检查中，发现并已认定存在安全隐患的地块，区土地规划监察局将做好统筹、协调相关街道积极配合相关监督部门进行整治。</w:t>
      </w:r>
    </w:p>
    <w:p>
      <w:pPr>
        <w:spacing w:before="156" w:beforeLines="50" w:after="156" w:afterLines="50" w:line="600" w:lineRule="exact"/>
        <w:jc w:val="center"/>
        <w:rPr>
          <w:rFonts w:hint="eastAsia" w:asciiTheme="majorEastAsia" w:hAnsiTheme="majorEastAsia" w:eastAsiaTheme="majorEastAsia" w:cstheme="majorEastAsia"/>
          <w:b/>
          <w:sz w:val="32"/>
          <w:szCs w:val="32"/>
        </w:rPr>
      </w:pPr>
      <w:r>
        <w:rPr>
          <w:rFonts w:hint="eastAsia" w:asciiTheme="majorEastAsia" w:hAnsiTheme="majorEastAsia" w:eastAsiaTheme="majorEastAsia" w:cstheme="majorEastAsia"/>
          <w:b/>
          <w:sz w:val="32"/>
          <w:szCs w:val="32"/>
        </w:rPr>
        <w:t>第四章  保障措施</w:t>
      </w:r>
    </w:p>
    <w:p>
      <w:pPr>
        <w:keepNext w:val="0"/>
        <w:keepLines w:val="0"/>
        <w:widowControl/>
        <w:suppressLineNumbers w:val="0"/>
        <w:ind w:firstLine="640" w:firstLineChars="200"/>
        <w:jc w:val="left"/>
        <w:rPr>
          <w:rFonts w:hint="eastAsia" w:ascii="华文仿宋" w:hAnsi="华文仿宋" w:eastAsia="华文仿宋" w:cs="华文仿宋"/>
          <w:sz w:val="32"/>
          <w:szCs w:val="32"/>
          <w:lang w:eastAsia="zh-CN"/>
        </w:rPr>
      </w:pPr>
      <w:r>
        <w:rPr>
          <w:rFonts w:hint="eastAsia" w:ascii="华文仿宋" w:hAnsi="华文仿宋" w:eastAsia="华文仿宋" w:cs="华文仿宋"/>
          <w:b/>
          <w:sz w:val="32"/>
          <w:szCs w:val="32"/>
        </w:rPr>
        <w:t>第八条</w:t>
      </w:r>
      <w:r>
        <w:rPr>
          <w:rFonts w:hint="eastAsia" w:ascii="华文仿宋" w:hAnsi="华文仿宋" w:eastAsia="华文仿宋" w:cs="华文仿宋"/>
          <w:sz w:val="32"/>
          <w:szCs w:val="32"/>
        </w:rPr>
        <w:t xml:space="preserve"> 【加强领导，认真履行职责】</w:t>
      </w:r>
    </w:p>
    <w:p>
      <w:pPr>
        <w:keepNext w:val="0"/>
        <w:keepLines w:val="0"/>
        <w:widowControl/>
        <w:suppressLineNumbers w:val="0"/>
        <w:ind w:firstLine="640" w:firstLineChars="200"/>
        <w:jc w:val="left"/>
        <w:rPr>
          <w:rFonts w:hint="eastAsia" w:ascii="华文仿宋" w:hAnsi="华文仿宋" w:eastAsia="华文仿宋" w:cs="华文仿宋"/>
          <w:sz w:val="32"/>
          <w:szCs w:val="32"/>
        </w:rPr>
      </w:pPr>
      <w:r>
        <w:rPr>
          <w:rFonts w:hint="eastAsia" w:ascii="华文仿宋" w:hAnsi="华文仿宋" w:eastAsia="华文仿宋" w:cs="华文仿宋"/>
          <w:sz w:val="32"/>
          <w:szCs w:val="32"/>
        </w:rPr>
        <w:t>各街道办加强非经营性国有储备土地管理的人员配备、资金保障，完善制度建设，切实履行管理职责。</w:t>
      </w:r>
    </w:p>
    <w:p>
      <w:pPr>
        <w:keepNext w:val="0"/>
        <w:keepLines w:val="0"/>
        <w:widowControl/>
        <w:suppressLineNumbers w:val="0"/>
        <w:ind w:firstLine="640" w:firstLineChars="200"/>
        <w:jc w:val="left"/>
        <w:rPr>
          <w:rFonts w:hint="eastAsia" w:ascii="华文仿宋" w:hAnsi="华文仿宋" w:eastAsia="华文仿宋" w:cs="华文仿宋"/>
          <w:sz w:val="32"/>
          <w:szCs w:val="32"/>
        </w:rPr>
      </w:pPr>
      <w:r>
        <w:rPr>
          <w:rFonts w:hint="eastAsia" w:ascii="华文仿宋" w:hAnsi="华文仿宋" w:eastAsia="华文仿宋" w:cs="华文仿宋"/>
          <w:b/>
          <w:sz w:val="32"/>
          <w:szCs w:val="32"/>
        </w:rPr>
        <w:t>第九条</w:t>
      </w:r>
      <w:r>
        <w:rPr>
          <w:rFonts w:hint="eastAsia" w:ascii="华文仿宋" w:hAnsi="华文仿宋" w:eastAsia="华文仿宋" w:cs="华文仿宋"/>
          <w:sz w:val="32"/>
          <w:szCs w:val="32"/>
        </w:rPr>
        <w:t xml:space="preserve"> 【加强统筹，规范数据报送】</w:t>
      </w:r>
    </w:p>
    <w:p>
      <w:pPr>
        <w:keepNext w:val="0"/>
        <w:keepLines w:val="0"/>
        <w:widowControl/>
        <w:suppressLineNumbers w:val="0"/>
        <w:ind w:firstLine="640" w:firstLineChars="200"/>
        <w:jc w:val="left"/>
        <w:rPr>
          <w:rFonts w:hint="eastAsia" w:ascii="华文仿宋" w:hAnsi="华文仿宋" w:eastAsia="华文仿宋" w:cs="华文仿宋"/>
          <w:sz w:val="32"/>
          <w:szCs w:val="32"/>
        </w:rPr>
      </w:pPr>
      <w:r>
        <w:rPr>
          <w:rFonts w:hint="eastAsia" w:ascii="华文仿宋" w:hAnsi="华文仿宋" w:eastAsia="华文仿宋" w:cs="华文仿宋"/>
          <w:sz w:val="32"/>
          <w:szCs w:val="32"/>
        </w:rPr>
        <w:t>区土地规划监察局统筹各街道掌握每宗地块实际现状，做到有的放矢，精准管理，建立信息台账，对市土地储备中心发来的出库数据及时更新，并转发辖区街道掌握最新动态情况。</w:t>
      </w:r>
    </w:p>
    <w:p>
      <w:pPr>
        <w:pStyle w:val="2"/>
        <w:rPr>
          <w:rFonts w:hint="eastAsia"/>
        </w:rPr>
      </w:pPr>
    </w:p>
    <w:p>
      <w:pPr>
        <w:spacing w:before="156" w:beforeLines="50" w:after="156" w:afterLines="50" w:line="600" w:lineRule="exact"/>
        <w:jc w:val="center"/>
        <w:rPr>
          <w:rFonts w:hint="eastAsia" w:asciiTheme="majorEastAsia" w:hAnsiTheme="majorEastAsia" w:eastAsiaTheme="majorEastAsia" w:cstheme="majorEastAsia"/>
          <w:b/>
          <w:sz w:val="32"/>
          <w:szCs w:val="32"/>
        </w:rPr>
      </w:pPr>
      <w:r>
        <w:rPr>
          <w:rFonts w:hint="eastAsia" w:asciiTheme="majorEastAsia" w:hAnsiTheme="majorEastAsia" w:eastAsiaTheme="majorEastAsia" w:cstheme="majorEastAsia"/>
          <w:b/>
          <w:sz w:val="32"/>
          <w:szCs w:val="32"/>
        </w:rPr>
        <w:t>第五章  考核问责</w:t>
      </w:r>
    </w:p>
    <w:p>
      <w:pPr>
        <w:keepNext w:val="0"/>
        <w:keepLines w:val="0"/>
        <w:widowControl/>
        <w:suppressLineNumbers w:val="0"/>
        <w:ind w:firstLine="640" w:firstLineChars="200"/>
        <w:jc w:val="left"/>
        <w:rPr>
          <w:rFonts w:hint="eastAsia" w:ascii="华文仿宋" w:hAnsi="华文仿宋" w:eastAsia="华文仿宋" w:cs="华文仿宋"/>
          <w:sz w:val="32"/>
          <w:szCs w:val="32"/>
        </w:rPr>
      </w:pPr>
      <w:r>
        <w:rPr>
          <w:rFonts w:hint="eastAsia" w:ascii="华文仿宋" w:hAnsi="华文仿宋" w:eastAsia="华文仿宋" w:cs="华文仿宋"/>
          <w:b/>
          <w:sz w:val="32"/>
          <w:szCs w:val="32"/>
        </w:rPr>
        <w:t>第十条</w:t>
      </w:r>
      <w:r>
        <w:rPr>
          <w:rFonts w:hint="eastAsia" w:ascii="华文仿宋" w:hAnsi="华文仿宋" w:eastAsia="华文仿宋" w:cs="华文仿宋"/>
          <w:sz w:val="32"/>
          <w:szCs w:val="32"/>
        </w:rPr>
        <w:t xml:space="preserve"> 【查违共同责任考核】</w:t>
      </w:r>
    </w:p>
    <w:p>
      <w:pPr>
        <w:keepNext w:val="0"/>
        <w:keepLines w:val="0"/>
        <w:widowControl/>
        <w:suppressLineNumbers w:val="0"/>
        <w:ind w:firstLine="640" w:firstLineChars="200"/>
        <w:jc w:val="left"/>
        <w:rPr>
          <w:rFonts w:hint="eastAsia" w:ascii="华文仿宋" w:hAnsi="华文仿宋" w:eastAsia="华文仿宋" w:cs="华文仿宋"/>
          <w:sz w:val="32"/>
          <w:szCs w:val="32"/>
        </w:rPr>
      </w:pPr>
      <w:r>
        <w:rPr>
          <w:rFonts w:hint="eastAsia" w:ascii="华文仿宋" w:hAnsi="华文仿宋" w:eastAsia="华文仿宋" w:cs="华文仿宋"/>
          <w:sz w:val="32"/>
          <w:szCs w:val="32"/>
        </w:rPr>
        <w:t>非经营性国有储备土地查处监管工作纳入宝安区“城市发展空间保障（查违共同责任）”考核中，按年度为评估周期对属地日常管理责任、建立管理工作制度、加强巡查防控力量、台账信息报送情况等方面进行考核。</w:t>
      </w:r>
    </w:p>
    <w:p>
      <w:pPr>
        <w:keepNext w:val="0"/>
        <w:keepLines w:val="0"/>
        <w:widowControl/>
        <w:suppressLineNumbers w:val="0"/>
        <w:ind w:firstLine="640" w:firstLineChars="200"/>
        <w:jc w:val="left"/>
        <w:rPr>
          <w:rFonts w:hint="eastAsia" w:ascii="华文仿宋" w:hAnsi="华文仿宋" w:eastAsia="华文仿宋" w:cs="华文仿宋"/>
          <w:sz w:val="32"/>
          <w:szCs w:val="32"/>
        </w:rPr>
      </w:pPr>
      <w:r>
        <w:rPr>
          <w:rFonts w:hint="eastAsia" w:ascii="华文仿宋" w:hAnsi="华文仿宋" w:eastAsia="华文仿宋" w:cs="华文仿宋"/>
          <w:b/>
          <w:sz w:val="32"/>
          <w:szCs w:val="32"/>
        </w:rPr>
        <w:t>第十一条</w:t>
      </w:r>
      <w:r>
        <w:rPr>
          <w:rFonts w:hint="eastAsia" w:ascii="华文仿宋" w:hAnsi="华文仿宋" w:eastAsia="华文仿宋" w:cs="华文仿宋"/>
          <w:sz w:val="32"/>
          <w:szCs w:val="32"/>
        </w:rPr>
        <w:t xml:space="preserve"> 【严格问责，强化责任追究】</w:t>
      </w:r>
    </w:p>
    <w:p>
      <w:pPr>
        <w:keepNext w:val="0"/>
        <w:keepLines w:val="0"/>
        <w:widowControl/>
        <w:suppressLineNumbers w:val="0"/>
        <w:ind w:firstLine="640" w:firstLineChars="200"/>
        <w:jc w:val="left"/>
        <w:rPr>
          <w:rFonts w:hint="eastAsia" w:ascii="华文仿宋" w:hAnsi="华文仿宋" w:eastAsia="华文仿宋" w:cs="华文仿宋"/>
          <w:sz w:val="32"/>
          <w:szCs w:val="32"/>
        </w:rPr>
      </w:pPr>
      <w:r>
        <w:rPr>
          <w:rFonts w:hint="eastAsia" w:ascii="华文仿宋" w:hAnsi="华文仿宋" w:eastAsia="华文仿宋" w:cs="华文仿宋"/>
          <w:sz w:val="32"/>
          <w:szCs w:val="32"/>
        </w:rPr>
        <w:t>承担非经营性国有储备土地管理职责的单位和个人应按规定履行管理职责。未按规定履责或违反法律法规的，将依法追究责任单位及责任人的责任。</w:t>
      </w:r>
    </w:p>
    <w:p>
      <w:pPr>
        <w:spacing w:before="156" w:beforeLines="50" w:after="156" w:afterLines="50" w:line="600" w:lineRule="exact"/>
        <w:jc w:val="center"/>
        <w:rPr>
          <w:rFonts w:hint="eastAsia" w:asciiTheme="majorEastAsia" w:hAnsiTheme="majorEastAsia" w:eastAsiaTheme="majorEastAsia" w:cstheme="majorEastAsia"/>
          <w:b/>
          <w:sz w:val="32"/>
          <w:szCs w:val="32"/>
        </w:rPr>
      </w:pPr>
      <w:r>
        <w:rPr>
          <w:rFonts w:hint="eastAsia" w:asciiTheme="majorEastAsia" w:hAnsiTheme="majorEastAsia" w:eastAsiaTheme="majorEastAsia" w:cstheme="majorEastAsia"/>
          <w:b/>
          <w:sz w:val="32"/>
          <w:szCs w:val="32"/>
        </w:rPr>
        <w:t>第六章  附则</w:t>
      </w:r>
    </w:p>
    <w:p>
      <w:pPr>
        <w:keepNext w:val="0"/>
        <w:keepLines w:val="0"/>
        <w:widowControl/>
        <w:suppressLineNumbers w:val="0"/>
        <w:ind w:firstLine="640" w:firstLineChars="200"/>
        <w:jc w:val="left"/>
        <w:rPr>
          <w:rFonts w:hint="eastAsia" w:ascii="华文仿宋" w:hAnsi="华文仿宋" w:eastAsia="华文仿宋" w:cs="华文仿宋"/>
          <w:sz w:val="32"/>
          <w:szCs w:val="32"/>
        </w:rPr>
      </w:pPr>
      <w:r>
        <w:rPr>
          <w:rFonts w:hint="eastAsia" w:ascii="华文仿宋" w:hAnsi="华文仿宋" w:eastAsia="华文仿宋" w:cs="华文仿宋"/>
          <w:sz w:val="32"/>
          <w:szCs w:val="32"/>
        </w:rPr>
        <w:t>本规范由</w:t>
      </w:r>
      <w:r>
        <w:rPr>
          <w:rFonts w:hint="eastAsia" w:ascii="华文仿宋" w:hAnsi="华文仿宋" w:eastAsia="华文仿宋" w:cs="华文仿宋"/>
          <w:sz w:val="32"/>
          <w:szCs w:val="32"/>
          <w:lang w:eastAsia="zh-CN"/>
        </w:rPr>
        <w:t>宝安区</w:t>
      </w:r>
      <w:r>
        <w:rPr>
          <w:rFonts w:hint="eastAsia" w:ascii="华文仿宋" w:hAnsi="华文仿宋" w:eastAsia="华文仿宋" w:cs="华文仿宋"/>
          <w:sz w:val="32"/>
          <w:szCs w:val="32"/>
        </w:rPr>
        <w:t>土地规划监察局负责解释。</w:t>
      </w:r>
    </w:p>
    <w:p>
      <w:pPr>
        <w:keepNext w:val="0"/>
        <w:keepLines w:val="0"/>
        <w:widowControl/>
        <w:suppressLineNumbers w:val="0"/>
        <w:ind w:firstLine="640" w:firstLineChars="200"/>
        <w:jc w:val="left"/>
        <w:rPr>
          <w:rFonts w:hint="eastAsia" w:ascii="华文仿宋" w:hAnsi="华文仿宋" w:eastAsia="华文仿宋" w:cs="华文仿宋"/>
          <w:sz w:val="32"/>
          <w:szCs w:val="32"/>
        </w:rPr>
      </w:pPr>
      <w:r>
        <w:rPr>
          <w:rFonts w:hint="eastAsia" w:ascii="华文仿宋" w:hAnsi="华文仿宋" w:eastAsia="华文仿宋" w:cs="华文仿宋"/>
          <w:sz w:val="32"/>
          <w:szCs w:val="32"/>
        </w:rPr>
        <w:t>本规范自发布之日起试行。</w:t>
      </w:r>
    </w:p>
    <w:p>
      <w:pPr>
        <w:rPr>
          <w:rFonts w:hint="eastAsia" w:ascii="华文仿宋" w:hAnsi="华文仿宋" w:eastAsia="华文仿宋" w:cs="华文仿宋"/>
          <w:sz w:val="32"/>
          <w:szCs w:val="32"/>
        </w:rPr>
      </w:pPr>
    </w:p>
    <w:p>
      <w:pPr>
        <w:rPr>
          <w:rFonts w:hint="eastAsia" w:ascii="华文仿宋" w:hAnsi="华文仿宋" w:eastAsia="华文仿宋" w:cs="华文仿宋"/>
          <w:sz w:val="32"/>
          <w:szCs w:val="32"/>
        </w:rPr>
      </w:pPr>
    </w:p>
    <w:p>
      <w:pPr>
        <w:rPr>
          <w:rFonts w:hint="eastAsia" w:ascii="华文仿宋" w:hAnsi="华文仿宋" w:eastAsia="华文仿宋" w:cs="华文仿宋"/>
          <w:sz w:val="32"/>
          <w:szCs w:val="32"/>
          <w:lang w:val="en-US" w:eastAsia="zh-CN"/>
        </w:rPr>
      </w:pP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华文仿宋" w:hAnsi="华文仿宋" w:eastAsia="华文仿宋" w:cs="华文仿宋"/>
          <w:b w:val="0"/>
          <w:bCs w:val="0"/>
          <w:sz w:val="32"/>
          <w:szCs w:val="32"/>
          <w:lang w:val="en-US" w:eastAsia="zh-CN"/>
        </w:rPr>
      </w:pPr>
    </w:p>
    <w:sectPr>
      <w:footerReference r:id="rId3" w:type="default"/>
      <w:pgSz w:w="11906" w:h="16838"/>
      <w:pgMar w:top="1440" w:right="1191" w:bottom="1440" w:left="124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0000000000000000000"/>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MingLiU">
    <w:altName w:val="方正书宋_GBK"/>
    <w:panose1 w:val="02020509000000000000"/>
    <w:charset w:val="88"/>
    <w:family w:val="modern"/>
    <w:pitch w:val="default"/>
    <w:sig w:usb0="00000000" w:usb1="00000000" w:usb2="00000016" w:usb3="00000000" w:csb0="00100001" w:csb1="00000000"/>
  </w:font>
  <w:font w:name="Garamond">
    <w:altName w:val="FreeSerif"/>
    <w:panose1 w:val="02020404030301010803"/>
    <w:charset w:val="00"/>
    <w:family w:val="roman"/>
    <w:pitch w:val="default"/>
    <w:sig w:usb0="00000000" w:usb1="00000000" w:usb2="00000000" w:usb3="00000000" w:csb0="0000009F" w:csb1="00000000"/>
  </w:font>
  <w:font w:name="FreeSerif">
    <w:panose1 w:val="02020603050405020304"/>
    <w:charset w:val="00"/>
    <w:family w:val="auto"/>
    <w:pitch w:val="default"/>
    <w:sig w:usb0="E59FAFFF" w:usb1="C200FDFF" w:usb2="43501B29" w:usb3="04000043" w:csb0="600101FF" w:csb1="FFFF0000"/>
  </w:font>
  <w:font w:name="微软雅黑">
    <w:altName w:val="方正黑体_GBK"/>
    <w:panose1 w:val="020B0503020204020204"/>
    <w:charset w:val="00"/>
    <w:family w:val="swiss"/>
    <w:pitch w:val="default"/>
    <w:sig w:usb0="00000000" w:usb1="00000000" w:usb2="00000016" w:usb3="00000000" w:csb0="0004001F" w:csb1="00000000"/>
  </w:font>
  <w:font w:name="华文仿宋">
    <w:panose1 w:val="02010600040101010101"/>
    <w:charset w:val="86"/>
    <w:family w:val="auto"/>
    <w:pitch w:val="default"/>
    <w:sig w:usb0="00000287" w:usb1="080F0000" w:usb2="00000000" w:usb3="00000000" w:csb0="0004009F" w:csb1="DFD70000"/>
  </w:font>
  <w:font w:name="Liberation Serif">
    <w:panose1 w:val="02020603050405020304"/>
    <w:charset w:val="00"/>
    <w:family w:val="auto"/>
    <w:pitch w:val="default"/>
    <w:sig w:usb0="A00002AF" w:usb1="500078FB" w:usb2="00000000" w:usb3="00000000" w:csb0="6000009F" w:csb1="DFD7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29514508"/>
      <w:docPartObj>
        <w:docPartGallery w:val="autotext"/>
      </w:docPartObj>
    </w:sdtPr>
    <w:sdtContent>
      <w:p>
        <w:pPr>
          <w:pStyle w:val="10"/>
          <w:jc w:val="center"/>
        </w:pPr>
        <w:r>
          <w:fldChar w:fldCharType="begin"/>
        </w:r>
        <w:r>
          <w:instrText xml:space="preserve">PAGE   \* MERGEFORMAT</w:instrText>
        </w:r>
        <w:r>
          <w:fldChar w:fldCharType="separate"/>
        </w:r>
        <w:r>
          <w:rPr>
            <w:lang w:val="zh-CN"/>
          </w:rPr>
          <w:t>38</w:t>
        </w:r>
        <w:r>
          <w:fldChar w:fldCharType="end"/>
        </w:r>
      </w:p>
    </w:sdtContent>
  </w:sdt>
  <w:p>
    <w:pPr>
      <w:pStyle w:val="1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5DE"/>
    <w:rsid w:val="00001DCA"/>
    <w:rsid w:val="00007E98"/>
    <w:rsid w:val="0002363A"/>
    <w:rsid w:val="00024F07"/>
    <w:rsid w:val="00047C54"/>
    <w:rsid w:val="00051CD1"/>
    <w:rsid w:val="000556A8"/>
    <w:rsid w:val="00057496"/>
    <w:rsid w:val="0006666A"/>
    <w:rsid w:val="000A71D0"/>
    <w:rsid w:val="000F7DF4"/>
    <w:rsid w:val="001166C7"/>
    <w:rsid w:val="001273DF"/>
    <w:rsid w:val="00160A05"/>
    <w:rsid w:val="001831B8"/>
    <w:rsid w:val="0019346E"/>
    <w:rsid w:val="001A4516"/>
    <w:rsid w:val="001C3C12"/>
    <w:rsid w:val="001E7E05"/>
    <w:rsid w:val="001F17B2"/>
    <w:rsid w:val="002027BD"/>
    <w:rsid w:val="00213D1C"/>
    <w:rsid w:val="00222C0F"/>
    <w:rsid w:val="0024217E"/>
    <w:rsid w:val="00250153"/>
    <w:rsid w:val="00254F52"/>
    <w:rsid w:val="00261440"/>
    <w:rsid w:val="00266BC5"/>
    <w:rsid w:val="00267923"/>
    <w:rsid w:val="002734BE"/>
    <w:rsid w:val="00277F1A"/>
    <w:rsid w:val="002877D3"/>
    <w:rsid w:val="002A5102"/>
    <w:rsid w:val="002C22F3"/>
    <w:rsid w:val="002F5CAC"/>
    <w:rsid w:val="00314C5B"/>
    <w:rsid w:val="003360DC"/>
    <w:rsid w:val="003501FF"/>
    <w:rsid w:val="0036379B"/>
    <w:rsid w:val="003676E8"/>
    <w:rsid w:val="00370E38"/>
    <w:rsid w:val="003752A2"/>
    <w:rsid w:val="00386E2A"/>
    <w:rsid w:val="003A7DA8"/>
    <w:rsid w:val="003B7584"/>
    <w:rsid w:val="003C7957"/>
    <w:rsid w:val="003D54B0"/>
    <w:rsid w:val="003E1066"/>
    <w:rsid w:val="003E784E"/>
    <w:rsid w:val="003F478C"/>
    <w:rsid w:val="003F6C9F"/>
    <w:rsid w:val="00410B59"/>
    <w:rsid w:val="00412258"/>
    <w:rsid w:val="0041364D"/>
    <w:rsid w:val="004137CB"/>
    <w:rsid w:val="00416A0B"/>
    <w:rsid w:val="00450F09"/>
    <w:rsid w:val="00470892"/>
    <w:rsid w:val="00490972"/>
    <w:rsid w:val="004C09E1"/>
    <w:rsid w:val="004D7817"/>
    <w:rsid w:val="00523ED2"/>
    <w:rsid w:val="00555906"/>
    <w:rsid w:val="005A00A1"/>
    <w:rsid w:val="005C48CD"/>
    <w:rsid w:val="005F0339"/>
    <w:rsid w:val="00622A39"/>
    <w:rsid w:val="00625DEC"/>
    <w:rsid w:val="0064402E"/>
    <w:rsid w:val="0065343D"/>
    <w:rsid w:val="00653C1E"/>
    <w:rsid w:val="00655038"/>
    <w:rsid w:val="00657473"/>
    <w:rsid w:val="006720D9"/>
    <w:rsid w:val="006B26CE"/>
    <w:rsid w:val="006C0F89"/>
    <w:rsid w:val="006C17C1"/>
    <w:rsid w:val="006E5BCB"/>
    <w:rsid w:val="00722A2A"/>
    <w:rsid w:val="007316AC"/>
    <w:rsid w:val="007452D5"/>
    <w:rsid w:val="00776DDE"/>
    <w:rsid w:val="007825DF"/>
    <w:rsid w:val="007C6B68"/>
    <w:rsid w:val="007D32B9"/>
    <w:rsid w:val="008361CE"/>
    <w:rsid w:val="0083683D"/>
    <w:rsid w:val="00857E77"/>
    <w:rsid w:val="008820CB"/>
    <w:rsid w:val="008967B6"/>
    <w:rsid w:val="008A69F4"/>
    <w:rsid w:val="008B7C6D"/>
    <w:rsid w:val="008C3271"/>
    <w:rsid w:val="008E49EC"/>
    <w:rsid w:val="008F7706"/>
    <w:rsid w:val="00932165"/>
    <w:rsid w:val="0093352C"/>
    <w:rsid w:val="00940AA5"/>
    <w:rsid w:val="009C0691"/>
    <w:rsid w:val="009C1159"/>
    <w:rsid w:val="009C1B3F"/>
    <w:rsid w:val="009D467F"/>
    <w:rsid w:val="009E05EE"/>
    <w:rsid w:val="009E132B"/>
    <w:rsid w:val="009F5AED"/>
    <w:rsid w:val="00A02046"/>
    <w:rsid w:val="00A1667D"/>
    <w:rsid w:val="00A41938"/>
    <w:rsid w:val="00A459AE"/>
    <w:rsid w:val="00A53236"/>
    <w:rsid w:val="00A61BD9"/>
    <w:rsid w:val="00A668F4"/>
    <w:rsid w:val="00A727E7"/>
    <w:rsid w:val="00A769D6"/>
    <w:rsid w:val="00A84CE5"/>
    <w:rsid w:val="00A8713A"/>
    <w:rsid w:val="00A874D4"/>
    <w:rsid w:val="00A9453D"/>
    <w:rsid w:val="00AE4BBF"/>
    <w:rsid w:val="00AF2E96"/>
    <w:rsid w:val="00B573E7"/>
    <w:rsid w:val="00B663B2"/>
    <w:rsid w:val="00BA4D31"/>
    <w:rsid w:val="00BA6E20"/>
    <w:rsid w:val="00BD4115"/>
    <w:rsid w:val="00BF6D1B"/>
    <w:rsid w:val="00BF72FE"/>
    <w:rsid w:val="00C21F79"/>
    <w:rsid w:val="00C2468F"/>
    <w:rsid w:val="00C27AA6"/>
    <w:rsid w:val="00C32735"/>
    <w:rsid w:val="00C3665F"/>
    <w:rsid w:val="00C37548"/>
    <w:rsid w:val="00C45F1B"/>
    <w:rsid w:val="00C65322"/>
    <w:rsid w:val="00C71E29"/>
    <w:rsid w:val="00C816BE"/>
    <w:rsid w:val="00CA64A1"/>
    <w:rsid w:val="00CD25DE"/>
    <w:rsid w:val="00CE4058"/>
    <w:rsid w:val="00D14E34"/>
    <w:rsid w:val="00D47667"/>
    <w:rsid w:val="00D5522A"/>
    <w:rsid w:val="00D876CF"/>
    <w:rsid w:val="00DD3CCC"/>
    <w:rsid w:val="00DF1105"/>
    <w:rsid w:val="00E002D8"/>
    <w:rsid w:val="00E421B5"/>
    <w:rsid w:val="00E51199"/>
    <w:rsid w:val="00E73627"/>
    <w:rsid w:val="00E925F1"/>
    <w:rsid w:val="00E9462C"/>
    <w:rsid w:val="00EA3220"/>
    <w:rsid w:val="00ED347D"/>
    <w:rsid w:val="00EE25AF"/>
    <w:rsid w:val="00F05142"/>
    <w:rsid w:val="00F16A8A"/>
    <w:rsid w:val="00F3433D"/>
    <w:rsid w:val="00F36EAA"/>
    <w:rsid w:val="00F465C1"/>
    <w:rsid w:val="00F518F6"/>
    <w:rsid w:val="00F63933"/>
    <w:rsid w:val="00F66712"/>
    <w:rsid w:val="00F97B51"/>
    <w:rsid w:val="00FA61E0"/>
    <w:rsid w:val="00FC5911"/>
    <w:rsid w:val="00FC734D"/>
    <w:rsid w:val="00FD2652"/>
    <w:rsid w:val="00FD7E08"/>
    <w:rsid w:val="00FF563B"/>
    <w:rsid w:val="27FF0033"/>
    <w:rsid w:val="2CFB2E02"/>
    <w:rsid w:val="2DFF1574"/>
    <w:rsid w:val="2FA7290D"/>
    <w:rsid w:val="38EF9F1B"/>
    <w:rsid w:val="3B670DD3"/>
    <w:rsid w:val="3E164FBB"/>
    <w:rsid w:val="3ED885A2"/>
    <w:rsid w:val="3EFF465F"/>
    <w:rsid w:val="3FFB7E31"/>
    <w:rsid w:val="462BD610"/>
    <w:rsid w:val="4C7FA634"/>
    <w:rsid w:val="56BCBCC9"/>
    <w:rsid w:val="577F7559"/>
    <w:rsid w:val="5CFFD47D"/>
    <w:rsid w:val="5DAD82EA"/>
    <w:rsid w:val="5DFEA2CD"/>
    <w:rsid w:val="5FDF7F65"/>
    <w:rsid w:val="5FFF037F"/>
    <w:rsid w:val="5FFFF1D9"/>
    <w:rsid w:val="619E6ABD"/>
    <w:rsid w:val="65F7F66A"/>
    <w:rsid w:val="67BBF901"/>
    <w:rsid w:val="67CF98BD"/>
    <w:rsid w:val="67FBB858"/>
    <w:rsid w:val="6BF6CF67"/>
    <w:rsid w:val="6F571051"/>
    <w:rsid w:val="6FE78B7C"/>
    <w:rsid w:val="6FEDC1FC"/>
    <w:rsid w:val="71ABC19C"/>
    <w:rsid w:val="71FB191D"/>
    <w:rsid w:val="727FDB03"/>
    <w:rsid w:val="75BF7FB6"/>
    <w:rsid w:val="75FA0911"/>
    <w:rsid w:val="76B7E1AE"/>
    <w:rsid w:val="777A15A6"/>
    <w:rsid w:val="777F0E8E"/>
    <w:rsid w:val="77F71D8A"/>
    <w:rsid w:val="77FB21E4"/>
    <w:rsid w:val="7A7F9161"/>
    <w:rsid w:val="7CFE9207"/>
    <w:rsid w:val="7D5FEE19"/>
    <w:rsid w:val="7D7ECC5B"/>
    <w:rsid w:val="7DF31094"/>
    <w:rsid w:val="7DF5B842"/>
    <w:rsid w:val="7EB6E8D9"/>
    <w:rsid w:val="7EFFE5C8"/>
    <w:rsid w:val="7F53AB7B"/>
    <w:rsid w:val="7F7ADAC6"/>
    <w:rsid w:val="7F8FE2B3"/>
    <w:rsid w:val="7FC624CA"/>
    <w:rsid w:val="7FCF2A73"/>
    <w:rsid w:val="7FDC1F3F"/>
    <w:rsid w:val="7FF9EFBB"/>
    <w:rsid w:val="7FFBAE3C"/>
    <w:rsid w:val="7FFF89D5"/>
    <w:rsid w:val="A9BF9FF6"/>
    <w:rsid w:val="ADFB20FF"/>
    <w:rsid w:val="AF3EDD48"/>
    <w:rsid w:val="AFDF70BC"/>
    <w:rsid w:val="B33DA37D"/>
    <w:rsid w:val="B3FF7E91"/>
    <w:rsid w:val="B7FBB534"/>
    <w:rsid w:val="BFBE3433"/>
    <w:rsid w:val="C7FA6CEA"/>
    <w:rsid w:val="CBEACD31"/>
    <w:rsid w:val="CF0E7B17"/>
    <w:rsid w:val="D6946C86"/>
    <w:rsid w:val="D6F796B6"/>
    <w:rsid w:val="DAFC35D4"/>
    <w:rsid w:val="DBFB954C"/>
    <w:rsid w:val="DDFFBCE0"/>
    <w:rsid w:val="DE73096E"/>
    <w:rsid w:val="DEF2F035"/>
    <w:rsid w:val="DF5F8FCA"/>
    <w:rsid w:val="DFFF1BAA"/>
    <w:rsid w:val="DFFF281D"/>
    <w:rsid w:val="E6F6B4D1"/>
    <w:rsid w:val="E77F86E5"/>
    <w:rsid w:val="E7F18F56"/>
    <w:rsid w:val="EAAFBD58"/>
    <w:rsid w:val="EDE381E7"/>
    <w:rsid w:val="EF4E1E98"/>
    <w:rsid w:val="EFDF9CFA"/>
    <w:rsid w:val="F47325BB"/>
    <w:rsid w:val="F4CD9BD0"/>
    <w:rsid w:val="F77D3EB7"/>
    <w:rsid w:val="F7FF5044"/>
    <w:rsid w:val="FB7B0C19"/>
    <w:rsid w:val="FBCF11E1"/>
    <w:rsid w:val="FCEF14B2"/>
    <w:rsid w:val="FDC7B30F"/>
    <w:rsid w:val="FDFF23CB"/>
    <w:rsid w:val="FE52CB1B"/>
    <w:rsid w:val="FE7F0D3A"/>
    <w:rsid w:val="FEAF80A6"/>
    <w:rsid w:val="FEFEEADE"/>
    <w:rsid w:val="FF697ABF"/>
    <w:rsid w:val="FF9F253D"/>
    <w:rsid w:val="FFB75F79"/>
    <w:rsid w:val="FFBFC425"/>
    <w:rsid w:val="FFE7B477"/>
    <w:rsid w:val="FFF1471A"/>
    <w:rsid w:val="FFF9D3ED"/>
    <w:rsid w:val="FFFEDD83"/>
    <w:rsid w:val="FFFF7C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99" w:name="footnote reference"/>
    <w:lsdException w:uiPriority="99"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36"/>
    <w:qFormat/>
    <w:uiPriority w:val="0"/>
    <w:pPr>
      <w:keepNext/>
      <w:keepLines/>
      <w:spacing w:before="340" w:after="330" w:line="578" w:lineRule="auto"/>
      <w:outlineLvl w:val="0"/>
    </w:pPr>
    <w:rPr>
      <w:rFonts w:ascii="仿宋_GB2312" w:hAnsi="Times New Roman" w:eastAsia="仿宋_GB2312" w:cs="Times New Roman"/>
      <w:b/>
      <w:bCs/>
      <w:kern w:val="44"/>
      <w:sz w:val="44"/>
      <w:szCs w:val="44"/>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link w:val="37"/>
    <w:qFormat/>
    <w:uiPriority w:val="0"/>
    <w:pPr>
      <w:widowControl/>
      <w:spacing w:before="100" w:beforeAutospacing="1" w:after="100" w:afterAutospacing="1"/>
      <w:jc w:val="left"/>
      <w:outlineLvl w:val="2"/>
    </w:pPr>
    <w:rPr>
      <w:rFonts w:ascii="宋体" w:hAnsi="宋体" w:eastAsia="宋体" w:cs="宋体"/>
      <w:b/>
      <w:bCs/>
      <w:kern w:val="0"/>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widowControl w:val="0"/>
      <w:ind w:firstLine="420" w:firstLineChars="200"/>
      <w:jc w:val="both"/>
    </w:pPr>
    <w:rPr>
      <w:rFonts w:ascii="Calibri" w:hAnsi="Calibri" w:eastAsia="CESI仿宋-GB2312" w:cs="CESI仿宋-GB2312"/>
      <w:kern w:val="56"/>
      <w:sz w:val="32"/>
      <w:szCs w:val="32"/>
      <w:lang w:val="en-US" w:eastAsia="zh-CN" w:bidi="ar-SA"/>
    </w:rPr>
  </w:style>
  <w:style w:type="paragraph" w:styleId="6">
    <w:name w:val="annotation text"/>
    <w:basedOn w:val="1"/>
    <w:link w:val="31"/>
    <w:semiHidden/>
    <w:unhideWhenUsed/>
    <w:qFormat/>
    <w:uiPriority w:val="99"/>
    <w:pPr>
      <w:jc w:val="left"/>
    </w:pPr>
  </w:style>
  <w:style w:type="paragraph" w:styleId="7">
    <w:name w:val="Plain Text"/>
    <w:basedOn w:val="1"/>
    <w:link w:val="39"/>
    <w:qFormat/>
    <w:uiPriority w:val="0"/>
    <w:rPr>
      <w:rFonts w:hint="eastAsia" w:ascii="宋体" w:hAnsi="Courier New" w:eastAsia="宋体" w:cs="Times New Roman"/>
      <w:szCs w:val="20"/>
    </w:rPr>
  </w:style>
  <w:style w:type="paragraph" w:styleId="8">
    <w:name w:val="endnote text"/>
    <w:basedOn w:val="1"/>
    <w:link w:val="34"/>
    <w:semiHidden/>
    <w:unhideWhenUsed/>
    <w:qFormat/>
    <w:uiPriority w:val="99"/>
    <w:pPr>
      <w:snapToGrid w:val="0"/>
      <w:jc w:val="left"/>
    </w:pPr>
  </w:style>
  <w:style w:type="paragraph" w:styleId="9">
    <w:name w:val="Balloon Text"/>
    <w:basedOn w:val="1"/>
    <w:link w:val="26"/>
    <w:unhideWhenUsed/>
    <w:qFormat/>
    <w:uiPriority w:val="0"/>
    <w:rPr>
      <w:sz w:val="18"/>
      <w:szCs w:val="18"/>
    </w:rPr>
  </w:style>
  <w:style w:type="paragraph" w:styleId="10">
    <w:name w:val="footer"/>
    <w:basedOn w:val="1"/>
    <w:link w:val="24"/>
    <w:unhideWhenUsed/>
    <w:qFormat/>
    <w:uiPriority w:val="99"/>
    <w:pPr>
      <w:tabs>
        <w:tab w:val="center" w:pos="4153"/>
        <w:tab w:val="right" w:pos="8306"/>
      </w:tabs>
      <w:snapToGrid w:val="0"/>
      <w:jc w:val="left"/>
    </w:pPr>
    <w:rPr>
      <w:sz w:val="18"/>
      <w:szCs w:val="18"/>
    </w:rPr>
  </w:style>
  <w:style w:type="paragraph" w:styleId="11">
    <w:name w:val="header"/>
    <w:basedOn w:val="1"/>
    <w:link w:val="23"/>
    <w:unhideWhenUsed/>
    <w:qFormat/>
    <w:uiPriority w:val="0"/>
    <w:pPr>
      <w:pBdr>
        <w:bottom w:val="single" w:color="auto" w:sz="6" w:space="1"/>
      </w:pBdr>
      <w:tabs>
        <w:tab w:val="center" w:pos="4153"/>
        <w:tab w:val="right" w:pos="8306"/>
      </w:tabs>
      <w:snapToGrid w:val="0"/>
      <w:jc w:val="center"/>
    </w:pPr>
    <w:rPr>
      <w:sz w:val="18"/>
      <w:szCs w:val="18"/>
    </w:rPr>
  </w:style>
  <w:style w:type="paragraph" w:styleId="12">
    <w:name w:val="footnote text"/>
    <w:basedOn w:val="1"/>
    <w:link w:val="25"/>
    <w:semiHidden/>
    <w:qFormat/>
    <w:uiPriority w:val="99"/>
    <w:pPr>
      <w:snapToGrid w:val="0"/>
      <w:jc w:val="left"/>
    </w:pPr>
    <w:rPr>
      <w:rFonts w:ascii="Calibri" w:hAnsi="Calibri" w:eastAsia="宋体" w:cs="Times New Roman"/>
      <w:kern w:val="0"/>
      <w:sz w:val="18"/>
      <w:szCs w:val="18"/>
    </w:rPr>
  </w:style>
  <w:style w:type="paragraph" w:styleId="13">
    <w:name w:val="Normal (Web)"/>
    <w:basedOn w:val="1"/>
    <w:qFormat/>
    <w:uiPriority w:val="0"/>
    <w:pPr>
      <w:widowControl/>
      <w:spacing w:before="100" w:beforeAutospacing="1" w:after="100" w:afterAutospacing="1"/>
      <w:jc w:val="left"/>
    </w:pPr>
    <w:rPr>
      <w:rFonts w:ascii="宋体" w:hAnsi="宋体" w:eastAsia="宋体" w:cs="宋体"/>
      <w:color w:val="000000"/>
      <w:kern w:val="0"/>
      <w:sz w:val="24"/>
      <w:szCs w:val="24"/>
    </w:rPr>
  </w:style>
  <w:style w:type="paragraph" w:styleId="14">
    <w:name w:val="annotation subject"/>
    <w:basedOn w:val="6"/>
    <w:next w:val="6"/>
    <w:link w:val="32"/>
    <w:semiHidden/>
    <w:unhideWhenUsed/>
    <w:qFormat/>
    <w:uiPriority w:val="99"/>
    <w:rPr>
      <w:b/>
      <w:bCs/>
    </w:rPr>
  </w:style>
  <w:style w:type="table" w:styleId="16">
    <w:name w:val="Table Grid"/>
    <w:basedOn w:val="1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0"/>
    <w:rPr>
      <w:b/>
      <w:bCs/>
    </w:rPr>
  </w:style>
  <w:style w:type="character" w:styleId="19">
    <w:name w:val="endnote reference"/>
    <w:basedOn w:val="17"/>
    <w:semiHidden/>
    <w:unhideWhenUsed/>
    <w:qFormat/>
    <w:uiPriority w:val="99"/>
    <w:rPr>
      <w:vertAlign w:val="superscript"/>
    </w:rPr>
  </w:style>
  <w:style w:type="character" w:styleId="20">
    <w:name w:val="page number"/>
    <w:basedOn w:val="17"/>
    <w:qFormat/>
    <w:uiPriority w:val="0"/>
  </w:style>
  <w:style w:type="character" w:styleId="21">
    <w:name w:val="Hyperlink"/>
    <w:qFormat/>
    <w:uiPriority w:val="0"/>
    <w:rPr>
      <w:color w:val="136EC2"/>
      <w:u w:val="single"/>
    </w:rPr>
  </w:style>
  <w:style w:type="character" w:styleId="22">
    <w:name w:val="footnote reference"/>
    <w:semiHidden/>
    <w:qFormat/>
    <w:uiPriority w:val="99"/>
    <w:rPr>
      <w:rFonts w:cs="Times New Roman"/>
      <w:vertAlign w:val="superscript"/>
    </w:rPr>
  </w:style>
  <w:style w:type="character" w:customStyle="1" w:styleId="23">
    <w:name w:val="页眉 Char"/>
    <w:basedOn w:val="17"/>
    <w:link w:val="11"/>
    <w:qFormat/>
    <w:uiPriority w:val="99"/>
    <w:rPr>
      <w:sz w:val="18"/>
      <w:szCs w:val="18"/>
    </w:rPr>
  </w:style>
  <w:style w:type="character" w:customStyle="1" w:styleId="24">
    <w:name w:val="页脚 Char"/>
    <w:basedOn w:val="17"/>
    <w:link w:val="10"/>
    <w:qFormat/>
    <w:uiPriority w:val="99"/>
    <w:rPr>
      <w:sz w:val="18"/>
      <w:szCs w:val="18"/>
    </w:rPr>
  </w:style>
  <w:style w:type="character" w:customStyle="1" w:styleId="25">
    <w:name w:val="脚注文本 Char"/>
    <w:basedOn w:val="17"/>
    <w:link w:val="12"/>
    <w:semiHidden/>
    <w:qFormat/>
    <w:uiPriority w:val="99"/>
    <w:rPr>
      <w:rFonts w:ascii="Calibri" w:hAnsi="Calibri" w:eastAsia="宋体" w:cs="Times New Roman"/>
      <w:kern w:val="0"/>
      <w:sz w:val="18"/>
      <w:szCs w:val="18"/>
    </w:rPr>
  </w:style>
  <w:style w:type="character" w:customStyle="1" w:styleId="26">
    <w:name w:val="批注框文本 Char"/>
    <w:basedOn w:val="17"/>
    <w:link w:val="9"/>
    <w:semiHidden/>
    <w:qFormat/>
    <w:uiPriority w:val="99"/>
    <w:rPr>
      <w:sz w:val="18"/>
      <w:szCs w:val="18"/>
    </w:rPr>
  </w:style>
  <w:style w:type="character" w:customStyle="1" w:styleId="27">
    <w:name w:val="正文文本_"/>
    <w:basedOn w:val="17"/>
    <w:link w:val="28"/>
    <w:qFormat/>
    <w:uiPriority w:val="0"/>
    <w:rPr>
      <w:rFonts w:ascii="Times New Roman" w:hAnsi="Times New Roman" w:eastAsia="Times New Roman" w:cs="Times New Roman"/>
      <w:sz w:val="20"/>
      <w:szCs w:val="20"/>
      <w:shd w:val="clear" w:color="auto" w:fill="FFFFFF"/>
    </w:rPr>
  </w:style>
  <w:style w:type="paragraph" w:customStyle="1" w:styleId="28">
    <w:name w:val="正文文本1"/>
    <w:basedOn w:val="1"/>
    <w:link w:val="27"/>
    <w:qFormat/>
    <w:uiPriority w:val="0"/>
    <w:pPr>
      <w:shd w:val="clear" w:color="auto" w:fill="FFFFFF"/>
      <w:jc w:val="left"/>
    </w:pPr>
    <w:rPr>
      <w:rFonts w:ascii="Times New Roman" w:hAnsi="Times New Roman" w:eastAsia="Times New Roman" w:cs="Times New Roman"/>
      <w:sz w:val="20"/>
      <w:szCs w:val="20"/>
    </w:rPr>
  </w:style>
  <w:style w:type="character" w:customStyle="1" w:styleId="29">
    <w:name w:val="正文文本 + MingLiU"/>
    <w:basedOn w:val="27"/>
    <w:qFormat/>
    <w:uiPriority w:val="0"/>
    <w:rPr>
      <w:rFonts w:ascii="MingLiU" w:hAnsi="MingLiU" w:eastAsia="MingLiU" w:cs="MingLiU"/>
      <w:color w:val="000000"/>
      <w:spacing w:val="10"/>
      <w:w w:val="100"/>
      <w:position w:val="0"/>
      <w:sz w:val="19"/>
      <w:szCs w:val="19"/>
      <w:shd w:val="clear" w:color="auto" w:fill="FFFFFF"/>
      <w:lang w:val="zh-TW"/>
    </w:rPr>
  </w:style>
  <w:style w:type="character" w:customStyle="1" w:styleId="30">
    <w:name w:val="正文文本 + Garamond"/>
    <w:basedOn w:val="27"/>
    <w:qFormat/>
    <w:uiPriority w:val="0"/>
    <w:rPr>
      <w:rFonts w:ascii="Garamond" w:hAnsi="Garamond" w:eastAsia="Garamond" w:cs="Garamond"/>
      <w:color w:val="000000"/>
      <w:spacing w:val="0"/>
      <w:w w:val="100"/>
      <w:position w:val="0"/>
      <w:sz w:val="22"/>
      <w:szCs w:val="22"/>
      <w:u w:val="none"/>
      <w:shd w:val="clear" w:color="auto" w:fill="FFFFFF"/>
      <w:lang w:val="zh-TW"/>
    </w:rPr>
  </w:style>
  <w:style w:type="character" w:customStyle="1" w:styleId="31">
    <w:name w:val="批注文字 Char"/>
    <w:basedOn w:val="17"/>
    <w:link w:val="6"/>
    <w:semiHidden/>
    <w:qFormat/>
    <w:uiPriority w:val="99"/>
  </w:style>
  <w:style w:type="character" w:customStyle="1" w:styleId="32">
    <w:name w:val="批注主题 Char"/>
    <w:basedOn w:val="31"/>
    <w:link w:val="14"/>
    <w:semiHidden/>
    <w:qFormat/>
    <w:uiPriority w:val="99"/>
    <w:rPr>
      <w:b/>
      <w:bCs/>
    </w:rPr>
  </w:style>
  <w:style w:type="paragraph" w:customStyle="1" w:styleId="33">
    <w:name w:val="Revision"/>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34">
    <w:name w:val="尾注文本 Char"/>
    <w:basedOn w:val="17"/>
    <w:link w:val="8"/>
    <w:semiHidden/>
    <w:qFormat/>
    <w:uiPriority w:val="99"/>
  </w:style>
  <w:style w:type="paragraph" w:styleId="35">
    <w:name w:val="List Paragraph"/>
    <w:basedOn w:val="1"/>
    <w:qFormat/>
    <w:uiPriority w:val="34"/>
    <w:pPr>
      <w:ind w:firstLine="420" w:firstLineChars="200"/>
    </w:pPr>
  </w:style>
  <w:style w:type="character" w:customStyle="1" w:styleId="36">
    <w:name w:val="标题 1 Char"/>
    <w:basedOn w:val="17"/>
    <w:link w:val="3"/>
    <w:qFormat/>
    <w:uiPriority w:val="0"/>
    <w:rPr>
      <w:rFonts w:ascii="仿宋_GB2312" w:hAnsi="Times New Roman" w:eastAsia="仿宋_GB2312" w:cs="Times New Roman"/>
      <w:b/>
      <w:bCs/>
      <w:kern w:val="44"/>
      <w:sz w:val="44"/>
      <w:szCs w:val="44"/>
    </w:rPr>
  </w:style>
  <w:style w:type="character" w:customStyle="1" w:styleId="37">
    <w:name w:val="标题 3 Char"/>
    <w:basedOn w:val="17"/>
    <w:link w:val="5"/>
    <w:qFormat/>
    <w:uiPriority w:val="0"/>
    <w:rPr>
      <w:rFonts w:ascii="宋体" w:hAnsi="宋体" w:eastAsia="宋体" w:cs="宋体"/>
      <w:b/>
      <w:bCs/>
      <w:kern w:val="0"/>
      <w:sz w:val="24"/>
      <w:szCs w:val="24"/>
    </w:rPr>
  </w:style>
  <w:style w:type="character" w:customStyle="1" w:styleId="38">
    <w:name w:val="headline-content2"/>
    <w:basedOn w:val="17"/>
    <w:qFormat/>
    <w:uiPriority w:val="0"/>
  </w:style>
  <w:style w:type="character" w:customStyle="1" w:styleId="39">
    <w:name w:val="纯文本 Char"/>
    <w:basedOn w:val="17"/>
    <w:link w:val="7"/>
    <w:qFormat/>
    <w:uiPriority w:val="0"/>
    <w:rPr>
      <w:rFonts w:ascii="宋体" w:hAnsi="Courier New" w:eastAsia="宋体" w:cs="Times New Roman"/>
      <w:szCs w:val="20"/>
    </w:rPr>
  </w:style>
  <w:style w:type="paragraph" w:customStyle="1" w:styleId="40">
    <w:name w:val="_Style 1"/>
    <w:basedOn w:val="1"/>
    <w:qFormat/>
    <w:uiPriority w:val="99"/>
    <w:pPr>
      <w:ind w:firstLine="420" w:firstLineChars="200"/>
    </w:pPr>
    <w:rPr>
      <w:rFonts w:ascii="Times New Roman" w:hAnsi="Times New Roman" w:eastAsia="微软雅黑" w:cs="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Chinese ORG</Company>
  <Pages>74</Pages>
  <Words>7775</Words>
  <Characters>44318</Characters>
  <Lines>369</Lines>
  <Paragraphs>103</Paragraphs>
  <TotalTime>1</TotalTime>
  <ScaleCrop>false</ScaleCrop>
  <LinksUpToDate>false</LinksUpToDate>
  <CharactersWithSpaces>51990</CharactersWithSpaces>
  <Application>WPS Office_11.8.2.11625_F1E327BC-269C-435d-A152-05C5408002CA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2020-05-20T09:46:00Z</dcterms:created>
  <dc:creator>null</dc:creator>
  <cp:lastModifiedBy>周金喜</cp:lastModifiedBy>
  <cp:lastPrinted>2020-04-27T10:13:00Z</cp:lastPrinted>
  <dcterms:modified xsi:type="dcterms:W3CDTF">2024-06-28T15:09:11Z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2052-11.8.2.11625</vt:lpwstr>
  </property>
  <property fmtid="{D5CDD505-2E9C-101B-9397-08002B2CF9AE}" pid="3" name="ICV">
    <vt:lpwstr>EC61A2C131D38EAC02DD036633F2C877</vt:lpwstr>
  </property>
</Properties>
</file>