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hAnsiTheme="minorEastAsia"/>
          <w:sz w:val="44"/>
          <w:szCs w:val="44"/>
        </w:rPr>
      </w:pPr>
      <w:bookmarkStart w:id="0" w:name="_GoBack"/>
      <w:bookmarkEnd w:id="0"/>
      <w:r>
        <w:rPr>
          <w:rFonts w:hint="eastAsia" w:ascii="方正小标宋简体" w:eastAsia="方正小标宋简体" w:hAnsiTheme="minorEastAsia"/>
          <w:sz w:val="44"/>
          <w:szCs w:val="44"/>
        </w:rPr>
        <w:t>《宝安区卫生健康局轻微行政违法行为不予处罚事项清单》《宝安区卫生健康局轻微行政违法行为从轻减轻处罚事项清单》</w:t>
      </w:r>
    </w:p>
    <w:p>
      <w:pPr>
        <w:spacing w:line="560" w:lineRule="exact"/>
        <w:jc w:val="center"/>
        <w:rPr>
          <w:rFonts w:hint="eastAsia" w:ascii="方正小标宋简体" w:eastAsia="方正小标宋简体" w:hAnsiTheme="minorEastAsia"/>
          <w:sz w:val="44"/>
          <w:szCs w:val="44"/>
        </w:rPr>
      </w:pPr>
      <w:r>
        <w:rPr>
          <w:rFonts w:hint="eastAsia" w:ascii="方正小标宋简体" w:eastAsia="方正小标宋简体" w:hAnsiTheme="minorEastAsia"/>
          <w:sz w:val="44"/>
          <w:szCs w:val="44"/>
        </w:rPr>
        <w:t>项目说明</w:t>
      </w:r>
    </w:p>
    <w:p>
      <w:pPr>
        <w:spacing w:line="560" w:lineRule="exact"/>
        <w:jc w:val="center"/>
        <w:rPr>
          <w:rFonts w:hint="eastAsia" w:ascii="方正小标宋简体" w:eastAsia="方正小标宋简体" w:hAnsiTheme="minorEastAsia"/>
          <w:sz w:val="44"/>
          <w:szCs w:val="44"/>
        </w:rPr>
      </w:pP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2022年5月，区委依法治区办印发《宝安区促进企业合规建设委员会关于印发&lt;宝安区2022年企业合规建设工作要点&gt;的通知》（宝合规委〔2022〕1号），为落实该通知中“制定实施第二批行政执法自由裁量权清单”等工作要求，宝安区卫生健康局起草了《宝安区卫生健康局轻微行政违法行为不予处罚事项清单》（第二批）（草拟稿）《宝安区卫生健康局轻微行政违法行为从轻减轻处罚事项清单》（第二批）（草拟稿）。</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宝安区卫生健康局轻微行政违法行为不予处罚事项清单》（第二批）（草拟稿）《宝安区卫生健康局轻微行政违法行为从轻减轻处罚事项清单》（第二批）（草拟稿）根据《中华人民共和国行政处罚法》（2021年修订版）第三十三条“初次违法且危害后果轻微并及时改正的，可以不予行政处罚”的规定，经审慎梳理《中华人民共和国职业病防治法》，借鉴部分区经验，结合全区职业卫生工作实际，秉持合法、公正、合理原则编制形成。</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《清单》列出不予处罚事项2个，从轻减轻处罚事项3个。</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（一）不予处罚事项。</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事项1：“未依照规定在劳动者离开用人单位时提供职业健康监护档案复印件”，处罚依据为“《中华人民共和国职业病防治法》第七十一条第五项 用人单位违反本法规定，有下列行为之一的，由卫生行政部门责令限期改正，给予警告，可以并处五万元以上十万元以下的罚款：（五）未依照本法规定在劳动者离开用人单位时提供职业健康监护档案复印件的。”，不予处罚条件为“违法行为轻微并及时改正，没有造成实际危害后果的。”</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事项2： “未按照规定在产生严重职业病危害的作业岗位醒目位置设置警示标识和中文警示说明”，处罚依据为“《中华人民共和国职业病防治法》第七十二条第八项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八）未按照规定在产生严重职业病危害的作业岗位醒目位置设置警示标识和中文警示说明的；”，不予处罚条件为“违法行为轻微并及时改正，没有造成实际危害后果的。”</w:t>
      </w:r>
    </w:p>
    <w:p>
      <w:pPr>
        <w:pStyle w:val="5"/>
        <w:ind w:firstLine="320"/>
        <w:rPr>
          <w:rFonts w:hint="eastAsia" w:hAnsi="Calibri" w:cs="Times New Roman"/>
          <w:lang w:val="en-US" w:bidi="ar-SA"/>
        </w:rPr>
      </w:pPr>
      <w:r>
        <w:rPr>
          <w:rFonts w:hint="eastAsia" w:hAnsi="Calibri" w:cs="Times New Roman"/>
          <w:lang w:val="en-US" w:bidi="ar-SA"/>
        </w:rPr>
        <w:t>（二）从轻减轻处罚事项</w:t>
      </w:r>
    </w:p>
    <w:p>
      <w:pPr>
        <w:pStyle w:val="5"/>
        <w:ind w:firstLine="640" w:firstLineChars="200"/>
        <w:rPr>
          <w:rFonts w:hint="eastAsia" w:hAnsi="Calibri" w:cs="Times New Roman"/>
          <w:lang w:val="en-US" w:bidi="ar-SA"/>
        </w:rPr>
      </w:pPr>
      <w:r>
        <w:rPr>
          <w:rFonts w:hint="eastAsia" w:hAnsi="Calibri" w:cs="Times New Roman"/>
          <w:lang w:val="en-US" w:bidi="ar-SA"/>
        </w:rPr>
        <w:t>事项1：“未按照规定组织劳动者进行职业卫生培训，或者未对劳动者个人职业病防护采取指导、督促措施”，处罚依据为“《中华人民共和国职业病防治法》第七十条第四项 违反本法规定，有下列行为之一的，由卫生行政部门给予警告，责令限期改正；逾期不改正的，处十万元以下的罚款：（四）未按照规定组织劳动者进行职业卫生培训，或者未对劳动者个人职业病防护采取指导、督促措施的；”，从轻减轻处罚条件为“主动消除或者减轻违法行为危害后果的，从轻处罚。”</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事项2：“未依照规定在劳动者离开用人单位时提供职业健康监护档案复印件”，处罚依据为“《中华人民共和国职业病防治法》第七十一条第五项 用人单位违反本法规定，有下列行为之一的，由卫生行政部门责令限期改正，给予警告，可以并处五万元以上十万元以下的罚款：（五）未依照本法规定在劳动者离开用人单位时提供职业健康监护档案复印件的。”，从轻减轻处罚条件为“主动消除或者减轻违法行为危害后果的，从轻处罚。”</w:t>
      </w:r>
    </w:p>
    <w:p>
      <w:pPr>
        <w:widowControl/>
        <w:shd w:val="clear" w:color="auto" w:fill="FFFFFF"/>
        <w:spacing w:line="560" w:lineRule="exact"/>
        <w:ind w:firstLine="600"/>
        <w:jc w:val="left"/>
        <w:rPr>
          <w:rFonts w:hint="eastAsia" w:ascii="仿宋_GB2312" w:hAnsi="Calibri" w:eastAsia="仿宋_GB2312"/>
          <w:sz w:val="32"/>
          <w:szCs w:val="32"/>
        </w:rPr>
      </w:pPr>
      <w:r>
        <w:rPr>
          <w:rFonts w:hint="eastAsia" w:ascii="仿宋_GB2312" w:hAnsi="Calibri" w:eastAsia="仿宋_GB2312"/>
          <w:sz w:val="32"/>
          <w:szCs w:val="32"/>
        </w:rPr>
        <w:t>事项3： “未按照规定在产生严重职业病危害的作业岗位醒目位置设置警示标识和中文警示说明”，处罚依据为“《中华人民共和国职业病防治法》第七十二条第八项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八）未按照规定在产生严重职业病危害的作业岗位醒目位置设置警示标识和中文警示说明的；”，不予处罚条件为“主动消除或者减轻违法行为危害后果的，从轻或减轻处罚。”</w:t>
      </w:r>
    </w:p>
    <w:p>
      <w:pPr>
        <w:widowControl/>
        <w:shd w:val="clear" w:color="auto" w:fill="FFFFFF"/>
        <w:spacing w:line="560" w:lineRule="exact"/>
        <w:jc w:val="left"/>
        <w:rPr>
          <w:rFonts w:hint="eastAsia" w:ascii="仿宋_GB2312" w:hAnsi="Calibri" w:eastAsia="仿宋_GB2312"/>
          <w:sz w:val="32"/>
          <w:szCs w:val="32"/>
        </w:rPr>
      </w:pPr>
      <w:r>
        <w:rPr>
          <w:rFonts w:hint="eastAsia" w:ascii="仿宋_GB2312" w:hAnsi="Calibri" w:eastAsia="仿宋_GB2312"/>
          <w:sz w:val="32"/>
          <w:szCs w:val="32"/>
        </w:rPr>
        <w:t>　　《清单》从违法事项、不予处罚、从轻减轻适用条件、以及相关的法律法规三个方面进行了全面梳理，便于具体实践操作。</w:t>
      </w:r>
    </w:p>
    <w:p>
      <w:pPr>
        <w:widowControl/>
        <w:shd w:val="clear" w:color="auto" w:fill="FFFFFF"/>
        <w:spacing w:line="560" w:lineRule="exact"/>
        <w:ind w:firstLine="600"/>
        <w:jc w:val="left"/>
        <w:rPr>
          <w:rFonts w:hint="eastAsia" w:ascii="仿宋_GB2312" w:hAnsi="Calibri" w:eastAsia="仿宋_GB2312"/>
          <w:sz w:val="32"/>
          <w:szCs w:val="32"/>
        </w:rPr>
      </w:pPr>
    </w:p>
    <w:p>
      <w:pPr>
        <w:spacing w:line="560" w:lineRule="exact"/>
        <w:jc w:val="center"/>
        <w:rPr>
          <w:rFonts w:hint="eastAsia" w:ascii="方正小标宋简体" w:eastAsia="方正小标宋简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D9"/>
    <w:rsid w:val="000A4B47"/>
    <w:rsid w:val="004627D9"/>
    <w:rsid w:val="005C36E7"/>
    <w:rsid w:val="006B6260"/>
    <w:rsid w:val="007C2580"/>
    <w:rsid w:val="00820980"/>
    <w:rsid w:val="008946DD"/>
    <w:rsid w:val="008C7E8F"/>
    <w:rsid w:val="008E12B5"/>
    <w:rsid w:val="00BE42EC"/>
    <w:rsid w:val="00C651D5"/>
    <w:rsid w:val="00CE1655"/>
    <w:rsid w:val="00EB55F2"/>
    <w:rsid w:val="00FC6471"/>
    <w:rsid w:val="FFEA1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semiHidden/>
    <w:unhideWhenUsed/>
    <w:qFormat/>
    <w:uiPriority w:val="99"/>
    <w:pPr>
      <w:spacing w:after="12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2"/>
    <w:qFormat/>
    <w:uiPriority w:val="0"/>
    <w:pPr>
      <w:spacing w:after="0"/>
      <w:ind w:firstLine="420" w:firstLineChars="100"/>
    </w:pPr>
    <w:rPr>
      <w:rFonts w:ascii="仿宋_GB2312" w:hAnsi="仿宋_GB2312" w:eastAsia="仿宋_GB2312" w:cs="仿宋_GB2312"/>
      <w:sz w:val="32"/>
      <w:szCs w:val="32"/>
      <w:lang w:val="zh-CN" w:bidi="zh-CN"/>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 Char Char Char"/>
    <w:basedOn w:val="1"/>
    <w:qFormat/>
    <w:uiPriority w:val="0"/>
    <w:rPr>
      <w:rFonts w:ascii="Times New Roman" w:hAnsi="Times New Roman" w:eastAsia="宋体" w:cs="Times New Roman"/>
      <w:szCs w:val="24"/>
    </w:rPr>
  </w:style>
  <w:style w:type="character" w:customStyle="1" w:styleId="11">
    <w:name w:val="正文文本 Char"/>
    <w:basedOn w:val="7"/>
    <w:link w:val="2"/>
    <w:semiHidden/>
    <w:qFormat/>
    <w:uiPriority w:val="99"/>
  </w:style>
  <w:style w:type="character" w:customStyle="1" w:styleId="12">
    <w:name w:val="正文首行缩进 Char"/>
    <w:basedOn w:val="11"/>
    <w:link w:val="5"/>
    <w:qFormat/>
    <w:uiPriority w:val="0"/>
    <w:rPr>
      <w:rFonts w:ascii="仿宋_GB2312" w:hAnsi="仿宋_GB2312" w:eastAsia="仿宋_GB2312" w:cs="仿宋_GB2312"/>
      <w:sz w:val="32"/>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252</Words>
  <Characters>1439</Characters>
  <Lines>11</Lines>
  <Paragraphs>3</Paragraphs>
  <TotalTime>24</TotalTime>
  <ScaleCrop>false</ScaleCrop>
  <LinksUpToDate>false</LinksUpToDate>
  <CharactersWithSpaces>1688</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2021-12-20T19:26:00Z</dcterms:created>
  <dc:creator>Bawsj-twf</dc:creator>
  <cp:lastModifiedBy>政策法规科</cp:lastModifiedBy>
  <dcterms:modified xsi:type="dcterms:W3CDTF">2024-07-09T16:14:03Z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ies>
</file>