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b/>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关于《深圳市宝安区既有住宅加装电梯</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全流程工作指引（试行）（征求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意见稿）》的起草说明</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一、起草背景</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既有住宅加装电梯</w:t>
      </w:r>
      <w:r>
        <w:rPr>
          <w:rFonts w:hint="default"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是老旧小区改造的重要</w:t>
      </w:r>
      <w:r>
        <w:rPr>
          <w:rFonts w:hint="default"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是满足居家养老需求、解决“悬空老人”和残障人士出行“刚需”的便民工程,也是回应人民群众对美好生活期盼,增强获得感和幸福感的民心工程。国家、省、市多次出台相关政策文件指导推进加装电梯工作，高度体现了以人民为中心的发展思想。</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2023年9月28日</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深圳市城镇老旧小区改造工作领导小组办公室下发《关于攻坚克难全面精准推进全市既有住宅加装电梯工作的通知》，10月18日，深圳市住房和建设局、深圳市规划和自然资源局、深圳市市场监督管理局联合印发《深圳市既有住宅加装电梯联合审查和专项联合验收工作指引（试行）》的通知，进一步</w:t>
      </w:r>
      <w:r>
        <w:rPr>
          <w:rFonts w:hint="eastAsia" w:ascii="仿宋_GB2312" w:hAnsi="仿宋_GB2312" w:eastAsia="仿宋_GB2312" w:cs="仿宋_GB2312"/>
          <w:color w:val="auto"/>
          <w:sz w:val="32"/>
          <w:szCs w:val="32"/>
          <w:lang w:eastAsia="zh-CN"/>
        </w:rPr>
        <w:t>明确了我市2023-2025年的工作目标、各成员单位的职责、简化审批验收补贴流程等。</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为贯彻落实上级工作部署，稳妥推进我区既有住宅加装电梯工作，结合近两年我区实施《深圳市宝安区既有住宅加装电梯工程工作指引》（深宝加梯办〔2021〕2号）</w:t>
      </w:r>
      <w:bookmarkStart w:id="0" w:name="_GoBack"/>
      <w:bookmarkEnd w:id="0"/>
      <w:r>
        <w:rPr>
          <w:rFonts w:hint="eastAsia" w:ascii="仿宋_GB2312" w:hAnsi="仿宋_GB2312" w:eastAsia="仿宋_GB2312" w:cs="仿宋_GB2312"/>
          <w:color w:val="auto"/>
          <w:sz w:val="32"/>
          <w:szCs w:val="32"/>
        </w:rPr>
        <w:t>以来遇到的部分需要完善的地方，例如：办事流程不够精简，群众需多个部门</w:t>
      </w:r>
      <w:r>
        <w:rPr>
          <w:rFonts w:hint="default" w:ascii="仿宋_GB2312" w:hAnsi="仿宋_GB2312" w:eastAsia="仿宋_GB2312" w:cs="仿宋_GB2312"/>
          <w:color w:val="auto"/>
          <w:sz w:val="32"/>
          <w:szCs w:val="32"/>
        </w:rPr>
        <w:t>提</w:t>
      </w:r>
      <w:r>
        <w:rPr>
          <w:rFonts w:hint="eastAsia" w:ascii="仿宋_GB2312" w:hAnsi="仿宋_GB2312" w:eastAsia="仿宋_GB2312" w:cs="仿宋_GB2312"/>
          <w:color w:val="auto"/>
          <w:sz w:val="32"/>
          <w:szCs w:val="32"/>
        </w:rPr>
        <w:t>交申请材料；社区职责不够清晰，没有充分发挥</w:t>
      </w:r>
      <w:r>
        <w:rPr>
          <w:rFonts w:hint="eastAsia" w:ascii="仿宋_GB2312" w:hAnsi="仿宋_GB2312" w:eastAsia="仿宋_GB2312" w:cs="仿宋_GB2312"/>
          <w:color w:val="auto"/>
          <w:sz w:val="32"/>
          <w:szCs w:val="32"/>
        </w:rPr>
        <w:t>基层组织</w:t>
      </w:r>
      <w:r>
        <w:rPr>
          <w:rFonts w:hint="eastAsia" w:ascii="仿宋_GB2312" w:hAnsi="仿宋_GB2312" w:eastAsia="仿宋_GB2312" w:cs="仿宋_GB2312"/>
          <w:color w:val="auto"/>
          <w:sz w:val="32"/>
          <w:szCs w:val="32"/>
        </w:rPr>
        <w:t>的协调作用，导致加装电梯工作推动困难；专业技术支撑不足，政府部门无法更好指导工作等问题，</w:t>
      </w:r>
      <w:r>
        <w:rPr>
          <w:rFonts w:hint="default" w:ascii="仿宋_GB2312" w:hAnsi="仿宋_GB2312" w:eastAsia="仿宋_GB2312" w:cs="仿宋_GB2312"/>
          <w:color w:val="auto"/>
          <w:sz w:val="32"/>
          <w:szCs w:val="32"/>
        </w:rPr>
        <w:t>亟需</w:t>
      </w:r>
      <w:r>
        <w:rPr>
          <w:rFonts w:hint="eastAsia" w:ascii="仿宋_GB2312" w:hAnsi="仿宋_GB2312" w:eastAsia="仿宋_GB2312" w:cs="仿宋_GB2312"/>
          <w:color w:val="auto"/>
          <w:sz w:val="32"/>
          <w:szCs w:val="32"/>
        </w:rPr>
        <w:t>更新我区加装电梯相关的工作指引。</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二、起草过程</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2023年8月，进一步学习省、市有关加梯文件精神。</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8月中旬，与上级部门沟通、讨论“联审联验”方案可行性，为市级方案提供我区经验。</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9月，走访部分加装电梯小区，与相关业主沟通了解整个加装建设过程存在的主要矛盾纠纷和困难等。</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10月初，向罗湖区、龙岗区、福田区学习先进经验。</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10月中旬，与市规划和自然资源局宝安管理局、</w:t>
      </w:r>
      <w:r>
        <w:rPr>
          <w:rFonts w:hint="default"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rPr>
        <w:t>市场监督管理局宝安监管局</w:t>
      </w:r>
      <w:r>
        <w:rPr>
          <w:rFonts w:hint="eastAsia" w:ascii="仿宋_GB2312" w:hAnsi="仿宋_GB2312" w:eastAsia="仿宋_GB2312" w:cs="仿宋_GB2312"/>
          <w:color w:val="auto"/>
          <w:sz w:val="32"/>
          <w:szCs w:val="32"/>
        </w:rPr>
        <w:t>多次沟通了解相关情况。</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10月18日，学习</w:t>
      </w:r>
      <w:r>
        <w:rPr>
          <w:rFonts w:hint="eastAsia" w:ascii="仿宋_GB2312" w:hAnsi="仿宋_GB2312" w:eastAsia="仿宋_GB2312" w:cs="仿宋_GB2312"/>
          <w:color w:val="auto"/>
          <w:sz w:val="32"/>
          <w:szCs w:val="32"/>
        </w:rPr>
        <w:t>市</w:t>
      </w:r>
      <w:r>
        <w:rPr>
          <w:rFonts w:hint="default" w:ascii="仿宋_GB2312" w:hAnsi="仿宋_GB2312" w:eastAsia="仿宋_GB2312" w:cs="仿宋_GB2312"/>
          <w:color w:val="auto"/>
          <w:sz w:val="32"/>
          <w:szCs w:val="32"/>
        </w:rPr>
        <w:t>住房和建设</w:t>
      </w:r>
      <w:r>
        <w:rPr>
          <w:rFonts w:hint="eastAsia" w:ascii="仿宋_GB2312" w:hAnsi="仿宋_GB2312" w:eastAsia="仿宋_GB2312" w:cs="仿宋_GB2312"/>
          <w:color w:val="auto"/>
          <w:sz w:val="32"/>
          <w:szCs w:val="32"/>
        </w:rPr>
        <w:t>局</w:t>
      </w:r>
      <w:r>
        <w:rPr>
          <w:rFonts w:hint="eastAsia" w:ascii="仿宋_GB2312" w:hAnsi="仿宋_GB2312" w:eastAsia="仿宋_GB2312" w:cs="仿宋_GB2312"/>
          <w:color w:val="auto"/>
          <w:sz w:val="32"/>
          <w:szCs w:val="32"/>
        </w:rPr>
        <w:t>“联审联验工作指引”文件要求，同步启动《深圳市宝安区既有住宅加装电梯全流程工作指引（试行）（征求意见稿）》起草工作。</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10月23日，确定了我区全流程工作指引的基本框架与内容。</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10月28日，完成“方案”初稿，并在内部进行讨论。</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10月30日，修改完善后的第二稿呈送领导审阅。</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11月2日，文件起草责任部门内部再次研究讨论。</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11月3日，修改完善第三稿后初步征询街道、市规划和自然资源局宝安管理局、</w:t>
      </w:r>
      <w:r>
        <w:rPr>
          <w:rFonts w:hint="default"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rPr>
        <w:t>市场监督管理局宝安监管局</w:t>
      </w:r>
      <w:r>
        <w:rPr>
          <w:rFonts w:hint="eastAsia" w:ascii="仿宋_GB2312" w:hAnsi="仿宋_GB2312" w:eastAsia="仿宋_GB2312" w:cs="仿宋_GB2312"/>
          <w:color w:val="auto"/>
          <w:sz w:val="32"/>
          <w:szCs w:val="32"/>
        </w:rPr>
        <w:t>意见。</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11月6日，修改完善第四稿后正式发文征求相关成员单位意见。</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11月27日，根据相关单位的</w:t>
      </w:r>
      <w:r>
        <w:rPr>
          <w:rFonts w:hint="default" w:ascii="仿宋_GB2312" w:hAnsi="仿宋_GB2312" w:eastAsia="仿宋_GB2312" w:cs="仿宋_GB2312"/>
          <w:color w:val="auto"/>
          <w:sz w:val="32"/>
          <w:szCs w:val="32"/>
        </w:rPr>
        <w:t>反馈</w:t>
      </w:r>
      <w:r>
        <w:rPr>
          <w:rFonts w:hint="eastAsia" w:ascii="仿宋_GB2312" w:hAnsi="仿宋_GB2312" w:eastAsia="仿宋_GB2312" w:cs="仿宋_GB2312"/>
          <w:color w:val="auto"/>
          <w:sz w:val="32"/>
          <w:szCs w:val="32"/>
        </w:rPr>
        <w:t>意见复函修改完善“第二次征求意见稿”后，第二次发文征求成员单位意见。</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2024年1月19日，根据区</w:t>
      </w:r>
      <w:r>
        <w:rPr>
          <w:rFonts w:hint="eastAsia" w:ascii="仿宋_GB2312" w:hAnsi="仿宋_GB2312" w:eastAsia="仿宋_GB2312" w:cs="仿宋_GB2312"/>
          <w:color w:val="auto"/>
          <w:sz w:val="32"/>
          <w:szCs w:val="32"/>
        </w:rPr>
        <w:t>重大行政决策流程，在区</w:t>
      </w:r>
      <w:r>
        <w:rPr>
          <w:rFonts w:hint="default" w:ascii="仿宋_GB2312" w:hAnsi="仿宋_GB2312" w:eastAsia="仿宋_GB2312" w:cs="仿宋_GB2312"/>
          <w:color w:val="auto"/>
          <w:sz w:val="32"/>
          <w:szCs w:val="32"/>
        </w:rPr>
        <w:t>住房和建设</w:t>
      </w:r>
      <w:r>
        <w:rPr>
          <w:rFonts w:hint="eastAsia" w:ascii="仿宋_GB2312" w:hAnsi="仿宋_GB2312" w:eastAsia="仿宋_GB2312" w:cs="仿宋_GB2312"/>
          <w:color w:val="auto"/>
          <w:sz w:val="32"/>
          <w:szCs w:val="32"/>
        </w:rPr>
        <w:t>局</w:t>
      </w:r>
      <w:r>
        <w:rPr>
          <w:rFonts w:hint="default" w:ascii="仿宋_GB2312" w:hAnsi="仿宋_GB2312" w:eastAsia="仿宋_GB2312" w:cs="仿宋_GB2312"/>
          <w:color w:val="auto"/>
          <w:sz w:val="32"/>
          <w:szCs w:val="32"/>
        </w:rPr>
        <w:t>网站</w:t>
      </w:r>
      <w:r>
        <w:rPr>
          <w:rFonts w:hint="eastAsia" w:ascii="仿宋_GB2312" w:hAnsi="仿宋_GB2312" w:eastAsia="仿宋_GB2312" w:cs="仿宋_GB2312"/>
          <w:color w:val="auto"/>
          <w:sz w:val="32"/>
          <w:szCs w:val="32"/>
        </w:rPr>
        <w:t>公示超30天征询社会公众意见。已征集到3条有效意见，并于3月15日反馈结果。</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2024年4月8日，根据区</w:t>
      </w:r>
      <w:r>
        <w:rPr>
          <w:rFonts w:hint="eastAsia" w:ascii="仿宋_GB2312" w:hAnsi="仿宋_GB2312" w:eastAsia="仿宋_GB2312" w:cs="仿宋_GB2312"/>
          <w:color w:val="auto"/>
          <w:sz w:val="32"/>
          <w:szCs w:val="32"/>
        </w:rPr>
        <w:t>重大行政决策流程，</w:t>
      </w:r>
      <w:r>
        <w:rPr>
          <w:rFonts w:hint="eastAsia" w:ascii="仿宋_GB2312" w:hAnsi="仿宋_GB2312" w:eastAsia="仿宋_GB2312" w:cs="仿宋_GB2312"/>
          <w:color w:val="auto"/>
          <w:sz w:val="32"/>
          <w:szCs w:val="32"/>
        </w:rPr>
        <w:t>组织专家组对草案进行论证，并根据专家组意见</w:t>
      </w:r>
      <w:r>
        <w:rPr>
          <w:rFonts w:hint="default" w:ascii="仿宋_GB2312" w:hAnsi="仿宋_GB2312" w:eastAsia="仿宋_GB2312" w:cs="仿宋_GB2312"/>
          <w:color w:val="auto"/>
          <w:sz w:val="32"/>
          <w:szCs w:val="32"/>
        </w:rPr>
        <w:t>做</w:t>
      </w:r>
      <w:r>
        <w:rPr>
          <w:rFonts w:hint="eastAsia" w:ascii="仿宋_GB2312" w:hAnsi="仿宋_GB2312" w:eastAsia="仿宋_GB2312" w:cs="仿宋_GB2312"/>
          <w:color w:val="auto"/>
          <w:sz w:val="32"/>
          <w:szCs w:val="32"/>
        </w:rPr>
        <w:t>修改。</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三、主要内容</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文稿起草主要从适用条件、职责分工、宣传引导及意愿征集、方案设计和公示、联合审查、工程报批和施工安装、专项联合验收、补贴申领等九个方面着手，提出了具体做法。</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明确职责。对住建、规划、市场监管、街道办等单位，以及水、电、气、通信等企业的“联审联验”职责进行了明确，尤其压紧压实街道办、社区工作站工作职责，充分发挥基层宣传引导、矛盾纠纷协调、安全生产等方面的作用。</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优化流程。一是支持街道办引进专业技术服务团队进驻，为居民提供硬件摸排、意愿征集、方案设计、施工监管等“一站式”服务。二是构建便捷申报体系，除必要的程序由区级部门负责之外，其他权限均下沉至街道办、社区工作站，且设置街道办统一受理窗口，减少群众“跑腿”。三是精简申报材料，去除前期意愿征集表等需要居民重复填写的资料。四是梳理、更新原工作指引中涉及的相关业务办理指引，如小散工程备案、特种设备安装施工告知书等。新工作指引将该部分办理指引以附件形式提供，不过多占用正文篇幅，使新指引更</w:t>
      </w:r>
      <w:r>
        <w:rPr>
          <w:rFonts w:hint="default" w:ascii="仿宋_GB2312" w:hAnsi="仿宋_GB2312" w:eastAsia="仿宋_GB2312" w:cs="仿宋_GB2312"/>
          <w:color w:val="auto"/>
          <w:sz w:val="32"/>
          <w:szCs w:val="32"/>
        </w:rPr>
        <w:t>加</w:t>
      </w:r>
      <w:r>
        <w:rPr>
          <w:rFonts w:hint="eastAsia" w:ascii="仿宋_GB2312" w:hAnsi="仿宋_GB2312" w:eastAsia="仿宋_GB2312" w:cs="仿宋_GB2312"/>
          <w:color w:val="auto"/>
          <w:sz w:val="32"/>
          <w:szCs w:val="32"/>
        </w:rPr>
        <w:t>易懂易操作。</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健全工作指引。新工作指引融合加装电梯“联审联验”和补贴申领相关要求，同时，整合了17个附件共16个参考文本、3个流程图和5个相关办事指南，政策的可获得性、便利性等更直观、更便民，真正做到加装电梯申办“一本通”。</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rPr>
      </w:pPr>
    </w:p>
    <w:sectPr>
      <w:pgSz w:w="11906" w:h="16838"/>
      <w:pgMar w:top="2098" w:right="1474" w:bottom="1984" w:left="1587" w:header="851" w:footer="737" w:gutter="0"/>
      <w:cols w:space="425"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4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8F"/>
    <w:rsid w:val="000D7EC5"/>
    <w:rsid w:val="000E1666"/>
    <w:rsid w:val="002639AF"/>
    <w:rsid w:val="002B02EA"/>
    <w:rsid w:val="002B1108"/>
    <w:rsid w:val="002D2831"/>
    <w:rsid w:val="002E67B7"/>
    <w:rsid w:val="00377AD9"/>
    <w:rsid w:val="0044377D"/>
    <w:rsid w:val="00454C56"/>
    <w:rsid w:val="00465B3E"/>
    <w:rsid w:val="00496F9D"/>
    <w:rsid w:val="005624D5"/>
    <w:rsid w:val="005C698F"/>
    <w:rsid w:val="005D6272"/>
    <w:rsid w:val="00606530"/>
    <w:rsid w:val="00783946"/>
    <w:rsid w:val="007C0B7C"/>
    <w:rsid w:val="00A277D9"/>
    <w:rsid w:val="00C70E4E"/>
    <w:rsid w:val="00CD114D"/>
    <w:rsid w:val="00D41BD3"/>
    <w:rsid w:val="00DB7AF5"/>
    <w:rsid w:val="00F21E4C"/>
    <w:rsid w:val="00FE2A32"/>
    <w:rsid w:val="137969D1"/>
    <w:rsid w:val="471472C2"/>
    <w:rsid w:val="7EBC27A2"/>
    <w:rsid w:val="7EE74D33"/>
    <w:rsid w:val="7EFF8156"/>
    <w:rsid w:val="EFFFD4D4"/>
    <w:rsid w:val="F73C747C"/>
    <w:rsid w:val="FA9FC965"/>
    <w:rsid w:val="FFBE1816"/>
    <w:rsid w:val="FFF25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9"/>
    <w:qFormat/>
    <w:uiPriority w:val="9"/>
    <w:pPr>
      <w:keepNext/>
      <w:keepLines/>
      <w:spacing w:before="340" w:after="330" w:line="576" w:lineRule="auto"/>
      <w:jc w:val="center"/>
      <w:outlineLvl w:val="0"/>
    </w:pPr>
    <w:rPr>
      <w:rFonts w:ascii="Times New Roman" w:hAnsi="Times New Roman" w:eastAsia="仿宋"/>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customStyle="1" w:styleId="9">
    <w:name w:val="标题 1 Char"/>
    <w:basedOn w:val="7"/>
    <w:link w:val="2"/>
    <w:qFormat/>
    <w:uiPriority w:val="9"/>
    <w:rPr>
      <w:rFonts w:ascii="Times New Roman" w:hAnsi="Times New Roman" w:eastAsia="仿宋" w:cs="黑体"/>
      <w:kern w:val="44"/>
      <w:sz w:val="44"/>
    </w:rPr>
  </w:style>
  <w:style w:type="character" w:customStyle="1" w:styleId="10">
    <w:name w:val="页眉 Char"/>
    <w:basedOn w:val="7"/>
    <w:link w:val="4"/>
    <w:qFormat/>
    <w:uiPriority w:val="99"/>
    <w:rPr>
      <w:rFonts w:ascii="Calibri" w:hAnsi="Calibri" w:eastAsia="宋体" w:cs="黑体"/>
      <w:sz w:val="18"/>
      <w:szCs w:val="18"/>
    </w:rPr>
  </w:style>
  <w:style w:type="character" w:customStyle="1" w:styleId="11">
    <w:name w:val="页脚 Char"/>
    <w:basedOn w:val="7"/>
    <w:link w:val="3"/>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220</Words>
  <Characters>1255</Characters>
  <Lines>10</Lines>
  <Paragraphs>2</Paragraphs>
  <TotalTime>9</TotalTime>
  <ScaleCrop>false</ScaleCrop>
  <LinksUpToDate>false</LinksUpToDate>
  <CharactersWithSpaces>1473</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2021-07-29T15:18:00Z</dcterms:created>
  <dc:creator>wang he</dc:creator>
  <cp:lastModifiedBy>梁振霖</cp:lastModifiedBy>
  <dcterms:modified xsi:type="dcterms:W3CDTF">2024-08-13T15:17:02Z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A99898927C7A468185E703D47D703653</vt:lpwstr>
  </property>
</Properties>
</file>