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80" w:lineRule="exact"/>
        <w:textAlignment w:val="auto"/>
        <w:rPr>
          <w:rFonts w:hint="eastAsia" w:ascii="黑体" w:hAnsi="黑体" w:eastAsia="黑体" w:cs="黑体"/>
          <w:color w:val="auto"/>
          <w:highlight w:val="none"/>
          <w:lang w:val="en-US" w:eastAsia="zh-CN"/>
        </w:rPr>
      </w:pPr>
      <w:r>
        <w:rPr>
          <w:rFonts w:ascii="Times New Roman" w:hAnsi="Times New Roman" w:eastAsia="黑体" w:cs="Times New Roman"/>
          <w:color w:val="auto"/>
          <w:sz w:val="32"/>
          <w:szCs w:val="32"/>
          <w:highlight w:val="none"/>
        </w:rPr>
        <w:t>附件</w:t>
      </w:r>
      <w:r>
        <w:rPr>
          <w:rFonts w:hint="eastAsia" w:ascii="黑体" w:hAnsi="黑体" w:eastAsia="黑体" w:cs="黑体"/>
          <w:color w:val="auto"/>
          <w:sz w:val="32"/>
          <w:szCs w:val="32"/>
          <w:highlight w:val="none"/>
          <w:lang w:val="en-US" w:eastAsia="zh-CN"/>
        </w:rPr>
        <w:t>2</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eastAsia="方正小标宋简体" w:cs="Times New Roman"/>
          <w:bCs/>
          <w:snapToGrid w:val="0"/>
          <w:color w:val="auto"/>
          <w:spacing w:val="0"/>
          <w:kern w:val="0"/>
          <w:sz w:val="40"/>
          <w:szCs w:val="40"/>
          <w:highlight w:val="none"/>
          <w:lang w:val="en-US" w:eastAsia="zh-CN"/>
        </w:rPr>
      </w:pPr>
    </w:p>
    <w:p>
      <w:pPr>
        <w:pStyle w:val="2"/>
        <w:keepNext w:val="0"/>
        <w:keepLines w:val="0"/>
        <w:pageBreakBefore w:val="0"/>
        <w:kinsoku/>
        <w:wordWrap/>
        <w:overflowPunct/>
        <w:topLinePunct w:val="0"/>
        <w:autoSpaceDE/>
        <w:autoSpaceDN/>
        <w:bidi w:val="0"/>
        <w:adjustRightInd/>
        <w:snapToGrid/>
        <w:spacing w:line="580" w:lineRule="exact"/>
        <w:textAlignment w:val="auto"/>
        <w:rPr>
          <w:rFonts w:hint="eastAsia"/>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简体" w:hAnsi="方正小标宋简体" w:eastAsia="方正小标宋简体" w:cs="方正小标宋简体"/>
          <w:bCs/>
          <w:snapToGrid w:val="0"/>
          <w:color w:val="auto"/>
          <w:kern w:val="0"/>
          <w:sz w:val="44"/>
          <w:szCs w:val="44"/>
          <w:lang w:val="en-AU"/>
        </w:rPr>
      </w:pPr>
      <w:r>
        <w:rPr>
          <w:rFonts w:hint="eastAsia" w:ascii="方正小标宋简体" w:hAnsi="方正小标宋简体" w:eastAsia="方正小标宋简体" w:cs="方正小标宋简体"/>
          <w:bCs/>
          <w:snapToGrid w:val="0"/>
          <w:color w:val="auto"/>
          <w:kern w:val="0"/>
          <w:sz w:val="44"/>
          <w:szCs w:val="44"/>
          <w:lang w:val="en-US" w:eastAsia="zh-CN"/>
        </w:rPr>
        <w:t>2024年深圳技能大赛—宝安区电池装配工职业技能竞赛</w:t>
      </w:r>
      <w:r>
        <w:rPr>
          <w:rFonts w:hint="default" w:ascii="方正小标宋简体" w:hAnsi="方正小标宋简体" w:eastAsia="方正小标宋简体" w:cs="方正小标宋简体"/>
          <w:bCs/>
          <w:snapToGrid w:val="0"/>
          <w:color w:val="auto"/>
          <w:kern w:val="0"/>
          <w:sz w:val="44"/>
          <w:szCs w:val="44"/>
          <w:lang w:val="en-AU"/>
        </w:rPr>
        <w:t>技术文件</w:t>
      </w:r>
    </w:p>
    <w:p>
      <w:pPr>
        <w:keepNext w:val="0"/>
        <w:keepLines w:val="0"/>
        <w:pageBreakBefore w:val="0"/>
        <w:kinsoku/>
        <w:wordWrap/>
        <w:overflowPunct/>
        <w:topLinePunct w:val="0"/>
        <w:autoSpaceDE/>
        <w:autoSpaceDN/>
        <w:bidi w:val="0"/>
        <w:adjustRightInd/>
        <w:snapToGrid/>
        <w:spacing w:line="580" w:lineRule="exact"/>
        <w:jc w:val="center"/>
        <w:textAlignment w:val="auto"/>
        <w:rPr>
          <w:rFonts w:ascii="Times New Roman" w:hAnsi="Times New Roman" w:eastAsia="楷体_GB2312" w:cs="Times New Roman"/>
          <w:bCs/>
          <w:color w:val="auto"/>
          <w:sz w:val="32"/>
          <w:szCs w:val="32"/>
          <w:highlight w:val="none"/>
          <w:lang w:val="en-AU"/>
        </w:rPr>
      </w:pPr>
    </w:p>
    <w:p>
      <w:pPr>
        <w:pStyle w:val="6"/>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eastAsia="微软雅黑" w:cs="Times New Roman"/>
          <w:color w:val="auto"/>
          <w:highlight w:val="none"/>
          <w:lang w:eastAsia="zh-CN"/>
        </w:rPr>
      </w:pPr>
    </w:p>
    <w:p>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cs="Times New Roman"/>
          <w:color w:val="auto"/>
          <w:highlight w:val="none"/>
          <w:lang w:val="en-AU"/>
        </w:rPr>
      </w:pPr>
    </w:p>
    <w:p>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cs="Times New Roman"/>
          <w:color w:val="auto"/>
          <w:highlight w:val="none"/>
          <w:lang w:val="en-AU"/>
        </w:rPr>
      </w:pPr>
    </w:p>
    <w:p>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cs="Times New Roman"/>
          <w:color w:val="auto"/>
          <w:highlight w:val="none"/>
          <w:lang w:val="en-AU"/>
        </w:rPr>
      </w:pPr>
    </w:p>
    <w:p>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cs="Times New Roman"/>
          <w:color w:val="auto"/>
          <w:highlight w:val="none"/>
          <w:lang w:val="en-AU"/>
        </w:rPr>
      </w:pPr>
    </w:p>
    <w:p>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cs="Times New Roman"/>
          <w:color w:val="auto"/>
          <w:highlight w:val="none"/>
          <w:lang w:val="en-AU"/>
        </w:rPr>
      </w:pPr>
    </w:p>
    <w:p>
      <w:pPr>
        <w:pStyle w:val="2"/>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cs="Times New Roman"/>
          <w:color w:val="auto"/>
          <w:highlight w:val="none"/>
          <w:lang w:val="en-AU"/>
        </w:rPr>
      </w:pPr>
    </w:p>
    <w:p>
      <w:pPr>
        <w:pStyle w:val="3"/>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cs="Times New Roman"/>
          <w:color w:val="auto"/>
          <w:highlight w:val="none"/>
          <w:lang w:val="en-AU"/>
        </w:rPr>
      </w:pPr>
    </w:p>
    <w:p>
      <w:pPr>
        <w:rPr>
          <w:lang w:val="en-AU"/>
        </w:rPr>
      </w:pPr>
    </w:p>
    <w:p>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cs="Times New Roman"/>
          <w:color w:val="auto"/>
          <w:highlight w:val="none"/>
          <w:lang w:val="en-AU"/>
        </w:rPr>
      </w:pPr>
    </w:p>
    <w:p>
      <w:pPr>
        <w:pStyle w:val="7"/>
        <w:keepNext w:val="0"/>
        <w:keepLines w:val="0"/>
        <w:pageBreakBefore w:val="0"/>
        <w:kinsoku/>
        <w:wordWrap/>
        <w:overflowPunct/>
        <w:topLinePunct w:val="0"/>
        <w:autoSpaceDE/>
        <w:autoSpaceDN/>
        <w:bidi w:val="0"/>
        <w:adjustRightInd/>
        <w:snapToGrid/>
        <w:spacing w:line="580" w:lineRule="exact"/>
        <w:ind w:firstLine="640"/>
        <w:textAlignment w:val="auto"/>
        <w:rPr>
          <w:rFonts w:ascii="Times New Roman" w:hAnsi="Times New Roman" w:cs="Times New Roman"/>
          <w:color w:val="auto"/>
          <w:highlight w:val="none"/>
          <w:lang w:val="en-AU"/>
        </w:rPr>
      </w:pPr>
    </w:p>
    <w:p>
      <w:pPr>
        <w:pStyle w:val="7"/>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ascii="Times New Roman" w:hAnsi="Times New Roman" w:cs="Times New Roman"/>
          <w:color w:val="auto"/>
          <w:highlight w:val="none"/>
          <w:lang w:val="en-AU"/>
        </w:rPr>
      </w:pPr>
    </w:p>
    <w:p>
      <w:pPr>
        <w:pStyle w:val="7"/>
        <w:keepNext w:val="0"/>
        <w:keepLines w:val="0"/>
        <w:pageBreakBefore w:val="0"/>
        <w:kinsoku/>
        <w:wordWrap/>
        <w:overflowPunct/>
        <w:topLinePunct w:val="0"/>
        <w:autoSpaceDE/>
        <w:autoSpaceDN/>
        <w:bidi w:val="0"/>
        <w:adjustRightInd/>
        <w:snapToGrid/>
        <w:spacing w:line="580" w:lineRule="exact"/>
        <w:ind w:firstLine="640"/>
        <w:textAlignment w:val="auto"/>
        <w:rPr>
          <w:rFonts w:ascii="Times New Roman" w:hAnsi="Times New Roman" w:cs="Times New Roman"/>
          <w:color w:val="auto"/>
          <w:highlight w:val="none"/>
          <w:lang w:val="en-AU"/>
        </w:rPr>
      </w:pPr>
    </w:p>
    <w:p>
      <w:pPr>
        <w:pStyle w:val="7"/>
        <w:keepNext w:val="0"/>
        <w:keepLines w:val="0"/>
        <w:pageBreakBefore w:val="0"/>
        <w:kinsoku/>
        <w:wordWrap/>
        <w:overflowPunct/>
        <w:topLinePunct w:val="0"/>
        <w:autoSpaceDE/>
        <w:autoSpaceDN/>
        <w:bidi w:val="0"/>
        <w:adjustRightInd/>
        <w:snapToGrid/>
        <w:spacing w:line="580" w:lineRule="exact"/>
        <w:ind w:firstLine="640"/>
        <w:textAlignment w:val="auto"/>
        <w:rPr>
          <w:rFonts w:ascii="Times New Roman" w:hAnsi="Times New Roman" w:cs="Times New Roman"/>
          <w:color w:val="auto"/>
          <w:highlight w:val="none"/>
          <w:lang w:val="en-AU"/>
        </w:rPr>
      </w:pP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仿宋_GB2312" w:hAnsi="仿宋_GB2312" w:cs="仿宋_GB2312"/>
          <w:color w:val="auto"/>
          <w:szCs w:val="32"/>
        </w:rPr>
      </w:pPr>
      <w:r>
        <w:rPr>
          <w:rFonts w:hint="eastAsia" w:ascii="仿宋_GB2312" w:hAnsi="仿宋_GB2312" w:cs="仿宋_GB2312"/>
          <w:color w:val="auto"/>
          <w:szCs w:val="32"/>
        </w:rPr>
        <w:t>2024年深圳技能大赛</w:t>
      </w:r>
      <w:r>
        <w:rPr>
          <w:rFonts w:hint="eastAsia" w:ascii="仿宋_GB2312" w:hAnsi="仿宋_GB2312" w:cs="仿宋_GB2312"/>
          <w:color w:val="auto"/>
          <w:szCs w:val="32"/>
          <w:lang w:eastAsia="zh-CN"/>
        </w:rPr>
        <w:t>—</w:t>
      </w:r>
      <w:r>
        <w:rPr>
          <w:rFonts w:hint="eastAsia" w:ascii="仿宋_GB2312" w:hAnsi="仿宋_GB2312" w:cs="仿宋_GB2312"/>
          <w:color w:val="auto"/>
          <w:szCs w:val="32"/>
        </w:rPr>
        <w:t>宝安区电池装配工</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center"/>
        <w:textAlignment w:val="auto"/>
        <w:rPr>
          <w:rFonts w:hint="eastAsia" w:ascii="仿宋_GB2312" w:hAnsi="仿宋_GB2312" w:cs="仿宋_GB2312"/>
          <w:color w:val="auto"/>
          <w:szCs w:val="32"/>
        </w:rPr>
      </w:pPr>
      <w:r>
        <w:rPr>
          <w:rFonts w:hint="eastAsia" w:ascii="仿宋_GB2312" w:hAnsi="仿宋_GB2312" w:cs="仿宋_GB2312"/>
          <w:color w:val="auto"/>
          <w:szCs w:val="32"/>
        </w:rPr>
        <w:t>职业技能竞赛执委会</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color w:val="auto"/>
          <w:szCs w:val="32"/>
          <w:lang w:val="en-AU"/>
        </w:rPr>
      </w:pPr>
      <w:r>
        <w:rPr>
          <w:rFonts w:hint="eastAsia" w:ascii="仿宋_GB2312" w:hAnsi="仿宋_GB2312" w:eastAsia="仿宋_GB2312" w:cs="仿宋_GB2312"/>
          <w:color w:val="auto"/>
          <w:szCs w:val="32"/>
          <w:lang w:val="en-AU"/>
        </w:rPr>
        <w:t>202</w:t>
      </w:r>
      <w:r>
        <w:rPr>
          <w:rFonts w:hint="eastAsia" w:ascii="仿宋_GB2312" w:hAnsi="仿宋_GB2312" w:eastAsia="仿宋_GB2312" w:cs="仿宋_GB2312"/>
          <w:color w:val="auto"/>
          <w:szCs w:val="32"/>
        </w:rPr>
        <w:t>4</w:t>
      </w:r>
      <w:r>
        <w:rPr>
          <w:rFonts w:hint="eastAsia" w:ascii="仿宋_GB2312" w:hAnsi="仿宋_GB2312" w:eastAsia="仿宋_GB2312" w:cs="仿宋_GB2312"/>
          <w:color w:val="auto"/>
          <w:szCs w:val="32"/>
          <w:lang w:val="en-AU"/>
        </w:rPr>
        <w:t>年</w:t>
      </w:r>
      <w:r>
        <w:rPr>
          <w:rFonts w:hint="default" w:ascii="仿宋_GB2312" w:hAnsi="仿宋_GB2312" w:cs="仿宋_GB2312"/>
          <w:color w:val="auto"/>
          <w:szCs w:val="32"/>
          <w:lang w:val="en-US"/>
        </w:rPr>
        <w:t>8</w:t>
      </w:r>
      <w:r>
        <w:rPr>
          <w:rFonts w:hint="eastAsia" w:ascii="仿宋_GB2312" w:hAnsi="仿宋_GB2312" w:eastAsia="仿宋_GB2312" w:cs="仿宋_GB2312"/>
          <w:color w:val="auto"/>
          <w:szCs w:val="32"/>
          <w:lang w:val="en-AU"/>
        </w:rPr>
        <w:t>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一、技术描述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（一）项目概要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color w:val="auto"/>
          <w:sz w:val="32"/>
          <w:szCs w:val="32"/>
          <w:highlight w:val="none"/>
        </w:rPr>
        <w:t>电池装配工项目</w:t>
      </w:r>
      <w:r>
        <w:rPr>
          <w:rFonts w:hint="eastAsia" w:cs="Times New Roman"/>
          <w:color w:val="auto"/>
          <w:sz w:val="32"/>
          <w:szCs w:val="32"/>
          <w:highlight w:val="none"/>
          <w:lang w:eastAsia="zh-CN"/>
        </w:rPr>
        <w:t>是指</w:t>
      </w:r>
      <w:r>
        <w:rPr>
          <w:rFonts w:hint="default" w:ascii="Times New Roman" w:hAnsi="Times New Roman" w:eastAsia="仿宋_GB2312" w:cs="Times New Roman"/>
          <w:color w:val="auto"/>
          <w:sz w:val="32"/>
          <w:szCs w:val="32"/>
          <w:highlight w:val="none"/>
        </w:rPr>
        <w:t>通过专业电池组装平台与精密测试仪器，评估参赛者对电池组件的熟悉程度及装配精确度，确保电池系统满足相应技术规范要求。比赛对选手的技能要求主要包括：</w:t>
      </w:r>
      <w:r>
        <w:rPr>
          <w:rFonts w:hint="eastAsia" w:cs="Times New Roman"/>
          <w:b w:val="0"/>
          <w:bCs w:val="0"/>
          <w:color w:val="auto"/>
          <w:sz w:val="32"/>
          <w:szCs w:val="32"/>
          <w:highlight w:val="none"/>
          <w:lang w:val="en-US" w:eastAsia="zh-CN"/>
        </w:rPr>
        <w:t>安全防护、</w:t>
      </w:r>
      <w:r>
        <w:rPr>
          <w:rFonts w:hint="eastAsia" w:ascii="仿宋_GB2312" w:hAnsi="仿宋_GB2312" w:cs="仿宋_GB2312"/>
          <w:b w:val="0"/>
          <w:bCs w:val="0"/>
          <w:color w:val="auto"/>
          <w:kern w:val="0"/>
          <w:sz w:val="32"/>
          <w:szCs w:val="32"/>
          <w:lang w:val="en-US" w:eastAsia="zh-CN"/>
        </w:rPr>
        <w:t>电池组装方案设计、</w:t>
      </w:r>
      <w:r>
        <w:rPr>
          <w:rFonts w:hint="default" w:ascii="Times New Roman" w:hAnsi="Times New Roman" w:eastAsia="仿宋_GB2312" w:cs="Times New Roman"/>
          <w:b w:val="0"/>
          <w:bCs w:val="0"/>
          <w:color w:val="auto"/>
          <w:sz w:val="32"/>
          <w:szCs w:val="32"/>
          <w:highlight w:val="none"/>
        </w:rPr>
        <w:t>电池单体</w:t>
      </w:r>
      <w:r>
        <w:rPr>
          <w:rFonts w:hint="eastAsia" w:cs="Times New Roman"/>
          <w:b w:val="0"/>
          <w:bCs w:val="0"/>
          <w:color w:val="auto"/>
          <w:sz w:val="32"/>
          <w:szCs w:val="32"/>
          <w:highlight w:val="none"/>
          <w:lang w:val="en-US" w:eastAsia="zh-CN"/>
        </w:rPr>
        <w:t>筛选、模组</w:t>
      </w:r>
      <w:r>
        <w:rPr>
          <w:rFonts w:hint="default" w:ascii="Times New Roman" w:hAnsi="Times New Roman" w:eastAsia="仿宋_GB2312" w:cs="Times New Roman"/>
          <w:b w:val="0"/>
          <w:bCs w:val="0"/>
          <w:color w:val="auto"/>
          <w:sz w:val="32"/>
          <w:szCs w:val="32"/>
          <w:highlight w:val="none"/>
        </w:rPr>
        <w:t>组装</w:t>
      </w:r>
      <w:r>
        <w:rPr>
          <w:rFonts w:hint="eastAsia"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使用专业工具或设备</w:t>
      </w:r>
      <w:r>
        <w:rPr>
          <w:rFonts w:hint="eastAsia" w:cs="Times New Roman"/>
          <w:b w:val="0"/>
          <w:bCs w:val="0"/>
          <w:color w:val="auto"/>
          <w:sz w:val="32"/>
          <w:szCs w:val="32"/>
          <w:highlight w:val="none"/>
          <w:lang w:val="en-US" w:eastAsia="zh-CN"/>
        </w:rPr>
        <w:t>进行</w:t>
      </w:r>
      <w:r>
        <w:rPr>
          <w:rFonts w:hint="default" w:ascii="Times New Roman" w:hAnsi="Times New Roman" w:eastAsia="仿宋_GB2312" w:cs="Times New Roman"/>
          <w:b w:val="0"/>
          <w:bCs w:val="0"/>
          <w:color w:val="auto"/>
          <w:sz w:val="32"/>
          <w:szCs w:val="32"/>
          <w:highlight w:val="none"/>
        </w:rPr>
        <w:t>电池系统组装。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Times New Roman"/>
          <w:b w:val="0"/>
          <w:bCs w:val="0"/>
          <w:color w:val="auto"/>
          <w:sz w:val="32"/>
          <w:szCs w:val="32"/>
          <w:highlight w:val="none"/>
          <w:lang w:eastAsia="zh-CN"/>
        </w:rPr>
      </w:pPr>
      <w:r>
        <w:rPr>
          <w:rFonts w:hint="default" w:ascii="Times New Roman" w:hAnsi="Times New Roman" w:eastAsia="楷体_GB2312" w:cs="Times New Roman"/>
          <w:b w:val="0"/>
          <w:bCs w:val="0"/>
          <w:color w:val="auto"/>
          <w:sz w:val="32"/>
          <w:szCs w:val="32"/>
          <w:highlight w:val="none"/>
        </w:rPr>
        <w:t>（二）基本知识及能力要求</w:t>
      </w:r>
    </w:p>
    <w:tbl>
      <w:tblPr>
        <w:tblStyle w:val="8"/>
        <w:tblW w:w="85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5596"/>
        <w:gridCol w:w="1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22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相关要求</w:t>
            </w:r>
          </w:p>
        </w:tc>
        <w:tc>
          <w:tcPr>
            <w:tcW w:w="13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权重比例</w:t>
            </w:r>
            <w:r>
              <w:rPr>
                <w:rFonts w:hint="eastAsia" w:ascii="仿宋_GB2312" w:hAnsi="仿宋_GB2312" w:cs="仿宋_GB2312"/>
                <w:color w:val="auto"/>
                <w:sz w:val="24"/>
                <w:szCs w:val="24"/>
                <w:lang w:eastAsia="zh-CN"/>
              </w:rPr>
              <w:t>（</w:t>
            </w:r>
            <w:r>
              <w:rPr>
                <w:rFonts w:hint="eastAsia" w:ascii="仿宋_GB2312" w:hAnsi="仿宋_GB2312" w:eastAsia="仿宋_GB2312" w:cs="仿宋_GB2312"/>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6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职业道德</w:t>
            </w:r>
          </w:p>
        </w:tc>
        <w:tc>
          <w:tcPr>
            <w:tcW w:w="55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—职业道德基本知识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职业守则</w:t>
            </w:r>
          </w:p>
        </w:tc>
        <w:tc>
          <w:tcPr>
            <w:tcW w:w="13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GB"/>
              </w:rPr>
            </w:pPr>
            <w:r>
              <w:rPr>
                <w:rFonts w:hint="eastAsia" w:ascii="仿宋_GB2312" w:hAnsi="仿宋_GB2312" w:eastAsia="仿宋_GB2312" w:cs="仿宋_GB2312"/>
                <w:color w:val="auto"/>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6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材料学基础知识</w:t>
            </w:r>
          </w:p>
        </w:tc>
        <w:tc>
          <w:tcPr>
            <w:tcW w:w="55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—材料基本分类、特性等基础知识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—材料检查分析的基础知识和常规方法</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—材料的合成制备方法相关基础知识</w:t>
            </w:r>
          </w:p>
        </w:tc>
        <w:tc>
          <w:tcPr>
            <w:tcW w:w="13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GB" w:eastAsia="zh-CN"/>
              </w:rPr>
            </w:pPr>
            <w:r>
              <w:rPr>
                <w:rFonts w:hint="eastAsia" w:ascii="仿宋_GB2312" w:hAnsi="仿宋_GB2312" w:eastAsia="仿宋_GB2312" w:cs="仿宋_GB2312"/>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16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电子电路</w:t>
            </w:r>
          </w:p>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基础知识</w:t>
            </w:r>
          </w:p>
        </w:tc>
        <w:tc>
          <w:tcPr>
            <w:tcW w:w="55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—电子电路常识及基础知识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—电气常识及基础知识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—电子元器件常识及基础知识</w:t>
            </w:r>
          </w:p>
        </w:tc>
        <w:tc>
          <w:tcPr>
            <w:tcW w:w="13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GB"/>
              </w:rPr>
            </w:pPr>
            <w:r>
              <w:rPr>
                <w:rFonts w:hint="eastAsia" w:ascii="仿宋_GB2312" w:hAnsi="仿宋_GB2312" w:eastAsia="仿宋_GB2312" w:cs="仿宋_GB2312"/>
                <w:color w:val="auto"/>
                <w:sz w:val="24"/>
                <w:szCs w:val="24"/>
                <w:lang w:val="en-GB"/>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化学及电化学基础知识</w:t>
            </w:r>
          </w:p>
        </w:tc>
        <w:tc>
          <w:tcPr>
            <w:tcW w:w="55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—氧化还原反应基础知识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—电化学基础知识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—电化学性能主要测试和评价方法</w:t>
            </w:r>
          </w:p>
        </w:tc>
        <w:tc>
          <w:tcPr>
            <w:tcW w:w="13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GB"/>
              </w:rPr>
            </w:pPr>
            <w:r>
              <w:rPr>
                <w:rFonts w:hint="eastAsia" w:ascii="仿宋_GB2312" w:hAnsi="仿宋_GB2312" w:eastAsia="仿宋_GB2312" w:cs="仿宋_GB2312"/>
                <w:color w:val="auto"/>
                <w:sz w:val="24"/>
                <w:szCs w:val="24"/>
                <w:lang w:val="en-GB"/>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1631"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机械</w:t>
            </w:r>
          </w:p>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基础知识</w:t>
            </w:r>
          </w:p>
        </w:tc>
        <w:tc>
          <w:tcPr>
            <w:tcW w:w="5596"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—机械装备基础知识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—机械电子化和智能化基础知识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—电气控制基础知识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—工业自动化基础知识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—机电一体化</w:t>
            </w:r>
            <w:r>
              <w:rPr>
                <w:rFonts w:hint="eastAsia" w:ascii="仿宋_GB2312" w:hAnsi="仿宋_GB2312" w:cs="仿宋_GB2312"/>
                <w:color w:val="auto"/>
                <w:sz w:val="24"/>
                <w:szCs w:val="24"/>
                <w:lang w:val="en-US" w:eastAsia="zh-CN"/>
              </w:rPr>
              <w:t>基础</w:t>
            </w:r>
            <w:r>
              <w:rPr>
                <w:rFonts w:hint="eastAsia" w:ascii="仿宋_GB2312" w:hAnsi="仿宋_GB2312" w:eastAsia="仿宋_GB2312" w:cs="仿宋_GB2312"/>
                <w:color w:val="auto"/>
                <w:sz w:val="24"/>
                <w:szCs w:val="24"/>
                <w:lang w:val="en-US" w:eastAsia="zh-CN"/>
              </w:rPr>
              <w:t>常识</w:t>
            </w:r>
          </w:p>
        </w:tc>
        <w:tc>
          <w:tcPr>
            <w:tcW w:w="13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GB" w:eastAsia="zh-CN"/>
              </w:rPr>
            </w:pPr>
            <w:r>
              <w:rPr>
                <w:rFonts w:hint="eastAsia" w:ascii="仿宋_GB2312" w:hAnsi="仿宋_GB2312" w:eastAsia="仿宋_GB2312" w:cs="仿宋_GB2312"/>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31"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电池生产</w:t>
            </w:r>
          </w:p>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工艺知识</w:t>
            </w:r>
          </w:p>
        </w:tc>
        <w:tc>
          <w:tcPr>
            <w:tcW w:w="55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—生产环境和人员基本要求</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—制浆、制粉、制片成型基本工艺和设备基础知识 </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—拉浆涂覆（极板浇铸）基本工艺和设备基础知识 </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—卷绕（叠片）基本工艺和常用设备知识 </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—注液、封装与化成基本工艺和常用设备知识 </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—模组化工艺和主要设备常识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—电池系统组装工艺流程和主要设备知识 </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—电池检测与产品安全基础知识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—电池生产工艺流程基础知识 </w:t>
            </w:r>
          </w:p>
        </w:tc>
        <w:tc>
          <w:tcPr>
            <w:tcW w:w="13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GB"/>
              </w:rPr>
            </w:pPr>
            <w:r>
              <w:rPr>
                <w:rFonts w:hint="eastAsia" w:ascii="仿宋_GB2312" w:hAnsi="仿宋_GB2312" w:eastAsia="仿宋_GB2312" w:cs="仿宋_GB2312"/>
                <w:color w:val="auto"/>
                <w:sz w:val="24"/>
                <w:szCs w:val="24"/>
                <w:lang w:val="en-GB"/>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16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电池产品及其结构基础知识</w:t>
            </w:r>
          </w:p>
        </w:tc>
        <w:tc>
          <w:tcPr>
            <w:tcW w:w="55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—电池基本构造及分类知识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—电池的性能及常用参数知识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—电池系统构件及常规总成方案知识</w:t>
            </w:r>
          </w:p>
        </w:tc>
        <w:tc>
          <w:tcPr>
            <w:tcW w:w="13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GB"/>
              </w:rPr>
            </w:pPr>
            <w:r>
              <w:rPr>
                <w:rFonts w:hint="eastAsia" w:ascii="仿宋_GB2312" w:hAnsi="仿宋_GB2312" w:eastAsia="仿宋_GB2312" w:cs="仿宋_GB2312"/>
                <w:color w:val="auto"/>
                <w:sz w:val="24"/>
                <w:szCs w:val="24"/>
                <w:lang w:val="en-GB"/>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16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安全生产及</w:t>
            </w:r>
          </w:p>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人员防护</w:t>
            </w:r>
          </w:p>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知识</w:t>
            </w:r>
          </w:p>
        </w:tc>
        <w:tc>
          <w:tcPr>
            <w:tcW w:w="55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—安全生产操作常识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—安全用电、防电磁辐射常识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—防火防爆知识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—防静电知识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—电池生产卫生防护基础知识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—安全保密知识</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—人员防护基础方法</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—电池生产企业应急处置方法</w:t>
            </w:r>
          </w:p>
        </w:tc>
        <w:tc>
          <w:tcPr>
            <w:tcW w:w="13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GB"/>
              </w:rPr>
            </w:pPr>
            <w:r>
              <w:rPr>
                <w:rFonts w:hint="eastAsia" w:ascii="仿宋_GB2312" w:hAnsi="仿宋_GB2312" w:eastAsia="仿宋_GB2312" w:cs="仿宋_GB2312"/>
                <w:color w:val="auto"/>
                <w:sz w:val="24"/>
                <w:szCs w:val="24"/>
                <w:lang w:val="en-GB"/>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6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质量管理</w:t>
            </w:r>
          </w:p>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基础知识</w:t>
            </w:r>
          </w:p>
        </w:tc>
        <w:tc>
          <w:tcPr>
            <w:tcW w:w="55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—产品质量管理基础知识 </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—物料管理基本要求</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—设备维护基本要求 </w:t>
            </w:r>
          </w:p>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—电池产品评价方法及标准基础知识</w:t>
            </w:r>
          </w:p>
        </w:tc>
        <w:tc>
          <w:tcPr>
            <w:tcW w:w="13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val="en-GB"/>
              </w:rPr>
            </w:pPr>
            <w:r>
              <w:rPr>
                <w:rFonts w:hint="eastAsia" w:ascii="仿宋_GB2312" w:hAnsi="仿宋_GB2312" w:eastAsia="仿宋_GB2312" w:cs="仿宋_GB2312"/>
                <w:color w:val="auto"/>
                <w:sz w:val="24"/>
                <w:szCs w:val="24"/>
                <w:lang w:val="en-GB"/>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6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合计</w:t>
            </w:r>
          </w:p>
        </w:tc>
        <w:tc>
          <w:tcPr>
            <w:tcW w:w="559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lang w:val="en-US" w:eastAsia="zh-CN"/>
              </w:rPr>
            </w:pPr>
          </w:p>
        </w:tc>
        <w:tc>
          <w:tcPr>
            <w:tcW w:w="13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100</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二、试题</w:t>
      </w:r>
      <w:r>
        <w:rPr>
          <w:rFonts w:hint="default" w:ascii="Times New Roman" w:hAnsi="Times New Roman" w:eastAsia="黑体" w:cs="Times New Roman"/>
          <w:bCs/>
          <w:color w:val="auto"/>
          <w:sz w:val="32"/>
          <w:szCs w:val="32"/>
          <w:highlight w:val="none"/>
        </w:rPr>
        <w:t>及</w:t>
      </w:r>
      <w:r>
        <w:rPr>
          <w:rFonts w:ascii="Times New Roman" w:hAnsi="Times New Roman" w:eastAsia="黑体" w:cs="Times New Roman"/>
          <w:bCs/>
          <w:color w:val="auto"/>
          <w:sz w:val="32"/>
          <w:szCs w:val="32"/>
          <w:highlight w:val="none"/>
        </w:rPr>
        <w:t>评判标准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（一）试题</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1.初赛：初赛采用半公开试题的命题方式进行。报名开始后执委会在</w:t>
      </w:r>
      <w:r>
        <w:rPr>
          <w:rFonts w:hint="eastAsia" w:ascii="仿宋_GB2312" w:hAnsi="仿宋_GB2312" w:cs="仿宋_GB2312"/>
          <w:color w:val="auto"/>
          <w:sz w:val="32"/>
          <w:szCs w:val="32"/>
          <w:highlight w:val="none"/>
          <w:lang w:val="en-US" w:eastAsia="zh-CN"/>
        </w:rPr>
        <w:t>指定</w:t>
      </w:r>
      <w:r>
        <w:rPr>
          <w:rFonts w:hint="eastAsia" w:ascii="仿宋_GB2312" w:hAnsi="仿宋_GB2312" w:eastAsia="仿宋_GB2312" w:cs="仿宋_GB2312"/>
          <w:color w:val="auto"/>
          <w:sz w:val="32"/>
          <w:szCs w:val="32"/>
          <w:highlight w:val="none"/>
        </w:rPr>
        <w:t>网</w:t>
      </w:r>
      <w:r>
        <w:rPr>
          <w:rFonts w:hint="eastAsia" w:ascii="仿宋_GB2312" w:hAnsi="仿宋_GB2312" w:cs="仿宋_GB2312"/>
          <w:color w:val="auto"/>
          <w:sz w:val="32"/>
          <w:szCs w:val="32"/>
          <w:highlight w:val="none"/>
          <w:lang w:val="en-US" w:eastAsia="zh-CN"/>
        </w:rPr>
        <w:t>站</w:t>
      </w:r>
      <w:r>
        <w:rPr>
          <w:rFonts w:hint="eastAsia" w:ascii="仿宋_GB2312" w:hAnsi="仿宋_GB2312" w:cs="仿宋_GB2312"/>
          <w:color w:val="auto"/>
          <w:sz w:val="32"/>
          <w:szCs w:val="32"/>
          <w:highlight w:val="none"/>
          <w:lang w:eastAsia="zh-CN"/>
        </w:rPr>
        <w:t>（https://www.bvta.com.cn/）</w:t>
      </w:r>
      <w:r>
        <w:rPr>
          <w:rFonts w:hint="eastAsia" w:ascii="仿宋_GB2312" w:hAnsi="仿宋_GB2312" w:eastAsia="仿宋_GB2312" w:cs="仿宋_GB2312"/>
          <w:color w:val="auto"/>
          <w:sz w:val="32"/>
          <w:szCs w:val="32"/>
          <w:highlight w:val="none"/>
        </w:rPr>
        <w:t>公布800道理论题库，供选手下载学习。</w:t>
      </w:r>
      <w:r>
        <w:rPr>
          <w:rFonts w:hint="eastAsia" w:ascii="仿宋_GB2312" w:hAnsi="仿宋_GB2312" w:eastAsia="仿宋_GB2312" w:cs="仿宋_GB2312"/>
          <w:color w:val="auto"/>
          <w:sz w:val="32"/>
          <w:szCs w:val="32"/>
          <w:highlight w:val="none"/>
          <w:lang w:val="en-US" w:eastAsia="zh-CN"/>
        </w:rPr>
        <w:t>竞赛当天由系统从题库中随机抽取试卷题量的70%和命题专家现场编制的30%组成正式赛题。</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Times New Roman" w:hAnsi="Times New Roman" w:eastAsia="仿宋_GB2312" w:cs="Times New Roman"/>
          <w:color w:val="auto"/>
          <w:sz w:val="32"/>
          <w:szCs w:val="32"/>
          <w:highlight w:val="none"/>
          <w:lang w:eastAsia="zh-CN"/>
        </w:rPr>
      </w:pPr>
      <w:r>
        <w:rPr>
          <w:rFonts w:hint="eastAsia" w:ascii="仿宋_GB2312" w:hAnsi="仿宋_GB2312" w:eastAsia="仿宋_GB2312" w:cs="仿宋_GB2312"/>
          <w:color w:val="auto"/>
          <w:sz w:val="32"/>
          <w:szCs w:val="32"/>
          <w:highlight w:val="none"/>
        </w:rPr>
        <w:t>2.决赛：采用全公开试题的方式，选手按赛场提供的实操任务书以现场实际操作的方式完成实操项目。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（二）比赛时间及试题具体内容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color w:val="auto"/>
          <w:lang w:eastAsia="zh-CN"/>
        </w:rPr>
      </w:pPr>
      <w:r>
        <w:rPr>
          <w:rFonts w:hint="eastAsia" w:ascii="仿宋_GB2312" w:hAnsi="仿宋_GB2312" w:eastAsia="仿宋_GB2312" w:cs="仿宋_GB2312"/>
          <w:color w:val="auto"/>
          <w:kern w:val="2"/>
          <w:sz w:val="32"/>
          <w:szCs w:val="20"/>
          <w:highlight w:val="none"/>
          <w:lang w:val="en-US" w:eastAsia="zh-CN" w:bidi="ar-SA"/>
        </w:rPr>
        <w:t>1.</w:t>
      </w:r>
      <w:r>
        <w:rPr>
          <w:rFonts w:hint="eastAsia" w:ascii="仿宋_GB2312" w:hAnsi="仿宋_GB2312" w:eastAsia="仿宋_GB2312" w:cs="仿宋_GB2312"/>
          <w:color w:val="auto"/>
          <w:sz w:val="32"/>
          <w:szCs w:val="32"/>
          <w:highlight w:val="none"/>
        </w:rPr>
        <w:t>比赛时间安排</w:t>
      </w:r>
      <w:r>
        <w:rPr>
          <w:rFonts w:hint="eastAsia" w:ascii="仿宋_GB2312" w:hAnsi="仿宋_GB2312" w:cs="仿宋_GB2312"/>
          <w:color w:val="auto"/>
          <w:sz w:val="32"/>
          <w:szCs w:val="32"/>
          <w:highlight w:val="none"/>
          <w:lang w:eastAsia="zh-CN"/>
        </w:rPr>
        <w:t>。</w:t>
      </w:r>
    </w:p>
    <w:tbl>
      <w:tblPr>
        <w:tblStyle w:val="9"/>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2647"/>
        <w:gridCol w:w="3778"/>
        <w:gridCol w:w="1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楷体_GB2312" w:hAnsi="楷体_GB2312" w:eastAsia="楷体_GB2312" w:cs="楷体_GB2312"/>
                <w:color w:val="auto"/>
                <w:kern w:val="0"/>
                <w:sz w:val="24"/>
                <w:szCs w:val="24"/>
              </w:rPr>
            </w:pPr>
            <w:r>
              <w:rPr>
                <w:rFonts w:hint="eastAsia" w:ascii="仿宋_GB2312" w:hAnsi="仿宋_GB2312" w:cs="仿宋_GB2312"/>
                <w:color w:val="auto"/>
                <w:kern w:val="0"/>
                <w:sz w:val="24"/>
                <w:szCs w:val="24"/>
              </w:rPr>
              <w:t>赛程</w:t>
            </w:r>
          </w:p>
        </w:tc>
        <w:tc>
          <w:tcPr>
            <w:tcW w:w="26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r>
              <w:rPr>
                <w:rFonts w:hint="eastAsia" w:ascii="仿宋_GB2312" w:hAnsi="仿宋_GB2312" w:cs="仿宋_GB2312"/>
                <w:color w:val="auto"/>
                <w:kern w:val="0"/>
                <w:sz w:val="24"/>
                <w:szCs w:val="24"/>
              </w:rPr>
              <w:t>方式</w:t>
            </w:r>
          </w:p>
        </w:tc>
        <w:tc>
          <w:tcPr>
            <w:tcW w:w="51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r>
              <w:rPr>
                <w:rFonts w:hint="eastAsia" w:ascii="仿宋_GB2312" w:hAnsi="仿宋_GB2312" w:cs="仿宋_GB2312"/>
                <w:color w:val="auto"/>
                <w:kern w:val="0"/>
                <w:sz w:val="24"/>
                <w:szCs w:val="24"/>
              </w:rPr>
              <w:t>时间（分钟）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r>
              <w:rPr>
                <w:rFonts w:hint="eastAsia" w:ascii="仿宋_GB2312" w:hAnsi="仿宋_GB2312" w:cs="仿宋_GB2312"/>
                <w:color w:val="auto"/>
                <w:kern w:val="0"/>
                <w:sz w:val="24"/>
                <w:szCs w:val="24"/>
              </w:rPr>
              <w:t>初赛</w:t>
            </w:r>
          </w:p>
        </w:tc>
        <w:tc>
          <w:tcPr>
            <w:tcW w:w="26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r>
              <w:rPr>
                <w:rFonts w:hint="eastAsia" w:ascii="仿宋_GB2312" w:hAnsi="仿宋_GB2312" w:cs="仿宋_GB2312"/>
                <w:color w:val="auto"/>
                <w:kern w:val="0"/>
                <w:sz w:val="24"/>
                <w:szCs w:val="24"/>
              </w:rPr>
              <w:t>理论知识上机考核</w:t>
            </w:r>
          </w:p>
        </w:tc>
        <w:tc>
          <w:tcPr>
            <w:tcW w:w="51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r>
              <w:rPr>
                <w:rFonts w:hint="eastAsia" w:ascii="仿宋_GB2312" w:hAnsi="仿宋_GB2312" w:cs="仿宋_GB2312"/>
                <w:color w:val="auto"/>
                <w:kern w:val="0"/>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04" w:type="dxa"/>
            <w:vMerge w:val="restart"/>
            <w:tcBorders>
              <w:top w:val="nil"/>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r>
              <w:rPr>
                <w:rFonts w:hint="eastAsia" w:ascii="仿宋_GB2312" w:hAnsi="仿宋_GB2312" w:cs="仿宋_GB2312"/>
                <w:color w:val="auto"/>
                <w:kern w:val="0"/>
                <w:sz w:val="24"/>
                <w:szCs w:val="24"/>
              </w:rPr>
              <w:t>决赛</w:t>
            </w:r>
          </w:p>
        </w:tc>
        <w:tc>
          <w:tcPr>
            <w:tcW w:w="2647" w:type="dxa"/>
            <w:vMerge w:val="restart"/>
            <w:tcBorders>
              <w:top w:val="nil"/>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cs="仿宋_GB2312"/>
                <w:color w:val="auto"/>
                <w:kern w:val="0"/>
                <w:sz w:val="24"/>
                <w:szCs w:val="24"/>
              </w:rPr>
              <w:t>实际操作现场实操</w:t>
            </w:r>
          </w:p>
        </w:tc>
        <w:tc>
          <w:tcPr>
            <w:tcW w:w="377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_GB2312" w:hAnsi="仿宋_GB2312" w:cs="仿宋_GB2312"/>
                <w:color w:val="auto"/>
                <w:kern w:val="0"/>
                <w:sz w:val="24"/>
                <w:szCs w:val="24"/>
              </w:rPr>
            </w:pPr>
            <w:r>
              <w:rPr>
                <w:rFonts w:hint="eastAsia" w:ascii="仿宋_GB2312" w:hAnsi="仿宋_GB2312" w:cs="仿宋_GB2312"/>
                <w:color w:val="auto"/>
                <w:kern w:val="0"/>
                <w:sz w:val="24"/>
                <w:szCs w:val="24"/>
              </w:rPr>
              <w:t>模块A ：</w:t>
            </w:r>
            <w:r>
              <w:rPr>
                <w:rFonts w:hint="eastAsia" w:ascii="仿宋_GB2312" w:hAnsi="仿宋_GB2312" w:cs="仿宋_GB2312"/>
                <w:color w:val="auto"/>
                <w:kern w:val="0"/>
                <w:sz w:val="24"/>
                <w:szCs w:val="24"/>
                <w:lang w:val="en-US" w:eastAsia="zh-CN"/>
              </w:rPr>
              <w:t>电池组装方案设计</w:t>
            </w:r>
          </w:p>
        </w:tc>
        <w:tc>
          <w:tcPr>
            <w:tcW w:w="1419"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r>
              <w:rPr>
                <w:rFonts w:hint="eastAsia" w:ascii="仿宋_GB2312" w:hAnsi="仿宋_GB2312" w:cs="仿宋_GB2312"/>
                <w:color w:val="auto"/>
                <w:kern w:val="0"/>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04"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p>
        </w:tc>
        <w:tc>
          <w:tcPr>
            <w:tcW w:w="2647"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p>
        </w:tc>
        <w:tc>
          <w:tcPr>
            <w:tcW w:w="377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_GB2312" w:hAnsi="仿宋_GB2312" w:cs="仿宋_GB2312"/>
                <w:color w:val="auto"/>
                <w:kern w:val="0"/>
                <w:sz w:val="24"/>
                <w:szCs w:val="24"/>
              </w:rPr>
            </w:pPr>
            <w:r>
              <w:rPr>
                <w:rFonts w:hint="eastAsia" w:ascii="仿宋_GB2312" w:hAnsi="仿宋_GB2312" w:cs="仿宋_GB2312"/>
                <w:color w:val="auto"/>
                <w:kern w:val="0"/>
                <w:sz w:val="24"/>
                <w:szCs w:val="24"/>
              </w:rPr>
              <w:t>模块B ：电池单体</w:t>
            </w:r>
            <w:r>
              <w:rPr>
                <w:rFonts w:hint="eastAsia" w:ascii="仿宋_GB2312" w:hAnsi="仿宋_GB2312" w:cs="仿宋_GB2312"/>
                <w:color w:val="auto"/>
                <w:kern w:val="0"/>
                <w:sz w:val="24"/>
                <w:szCs w:val="24"/>
                <w:lang w:val="en-US" w:eastAsia="zh-CN"/>
              </w:rPr>
              <w:t>筛选、电池模组</w:t>
            </w:r>
            <w:r>
              <w:rPr>
                <w:rFonts w:hint="eastAsia" w:ascii="仿宋_GB2312" w:hAnsi="仿宋_GB2312" w:cs="仿宋_GB2312"/>
                <w:color w:val="auto"/>
                <w:kern w:val="0"/>
                <w:sz w:val="24"/>
                <w:szCs w:val="24"/>
              </w:rPr>
              <w:t>组装</w:t>
            </w:r>
          </w:p>
        </w:tc>
        <w:tc>
          <w:tcPr>
            <w:tcW w:w="1419"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804"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p>
        </w:tc>
        <w:tc>
          <w:tcPr>
            <w:tcW w:w="2647"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p>
        </w:tc>
        <w:tc>
          <w:tcPr>
            <w:tcW w:w="3778"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_GB2312" w:hAnsi="仿宋_GB2312" w:cs="仿宋_GB2312"/>
                <w:color w:val="auto"/>
                <w:kern w:val="0"/>
                <w:sz w:val="24"/>
                <w:szCs w:val="24"/>
              </w:rPr>
            </w:pPr>
            <w:r>
              <w:rPr>
                <w:rFonts w:hint="eastAsia" w:ascii="仿宋_GB2312" w:hAnsi="仿宋_GB2312" w:cs="仿宋_GB2312"/>
                <w:color w:val="auto"/>
                <w:kern w:val="0"/>
                <w:sz w:val="24"/>
                <w:szCs w:val="24"/>
              </w:rPr>
              <w:t>模块C ：电池系统组装</w:t>
            </w:r>
          </w:p>
        </w:tc>
        <w:tc>
          <w:tcPr>
            <w:tcW w:w="1419"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cs="仿宋_GB2312"/>
                <w:color w:val="auto"/>
                <w:kern w:val="0"/>
                <w:sz w:val="24"/>
                <w:szCs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仿宋_GB2312" w:hAnsi="仿宋_GB2312" w:cs="仿宋_GB2312"/>
          <w:color w:val="auto"/>
          <w:szCs w:val="32"/>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cs="仿宋_GB2312"/>
          <w:color w:val="auto"/>
          <w:szCs w:val="32"/>
        </w:rPr>
        <w:t>初赛试题。初赛由计算机系统自动评分。单选题50题，每题1分；多选题</w:t>
      </w:r>
      <w:r>
        <w:rPr>
          <w:rFonts w:hint="eastAsia" w:ascii="仿宋_GB2312" w:hAnsi="仿宋_GB2312" w:cs="仿宋_GB2312"/>
          <w:color w:val="auto"/>
          <w:szCs w:val="32"/>
          <w:lang w:val="en-US" w:eastAsia="zh-CN"/>
        </w:rPr>
        <w:t>2</w:t>
      </w:r>
      <w:r>
        <w:rPr>
          <w:rFonts w:hint="eastAsia" w:ascii="仿宋_GB2312" w:hAnsi="仿宋_GB2312" w:cs="仿宋_GB2312"/>
          <w:color w:val="auto"/>
          <w:szCs w:val="32"/>
        </w:rPr>
        <w:t>0题，每题</w:t>
      </w:r>
      <w:r>
        <w:rPr>
          <w:rFonts w:hint="eastAsia" w:ascii="仿宋_GB2312" w:hAnsi="仿宋_GB2312" w:cs="仿宋_GB2312"/>
          <w:color w:val="auto"/>
          <w:szCs w:val="32"/>
          <w:lang w:val="en-US" w:eastAsia="zh-CN"/>
        </w:rPr>
        <w:t>1.5</w:t>
      </w:r>
      <w:r>
        <w:rPr>
          <w:rFonts w:hint="eastAsia" w:ascii="仿宋_GB2312" w:hAnsi="仿宋_GB2312" w:cs="仿宋_GB2312"/>
          <w:color w:val="auto"/>
          <w:szCs w:val="32"/>
        </w:rPr>
        <w:t>分；判断题</w:t>
      </w:r>
      <w:r>
        <w:rPr>
          <w:rFonts w:hint="eastAsia" w:ascii="仿宋_GB2312" w:hAnsi="仿宋_GB2312" w:cs="仿宋_GB2312"/>
          <w:color w:val="auto"/>
          <w:szCs w:val="32"/>
          <w:lang w:val="en-US" w:eastAsia="zh-CN"/>
        </w:rPr>
        <w:t>2</w:t>
      </w:r>
      <w:r>
        <w:rPr>
          <w:rFonts w:hint="eastAsia" w:ascii="仿宋_GB2312" w:hAnsi="仿宋_GB2312" w:cs="仿宋_GB2312"/>
          <w:color w:val="auto"/>
          <w:szCs w:val="32"/>
        </w:rPr>
        <w:t>0题，每题</w:t>
      </w:r>
      <w:r>
        <w:rPr>
          <w:rFonts w:hint="eastAsia" w:ascii="仿宋_GB2312" w:hAnsi="仿宋_GB2312" w:cs="仿宋_GB2312"/>
          <w:color w:val="auto"/>
          <w:szCs w:val="32"/>
          <w:lang w:val="en-US" w:eastAsia="zh-CN"/>
        </w:rPr>
        <w:t>1</w:t>
      </w:r>
      <w:r>
        <w:rPr>
          <w:rFonts w:hint="eastAsia" w:ascii="仿宋_GB2312" w:hAnsi="仿宋_GB2312" w:cs="仿宋_GB2312"/>
          <w:color w:val="auto"/>
          <w:szCs w:val="32"/>
        </w:rPr>
        <w:t>分；各题型错选、多选或少选均不得分。</w:t>
      </w:r>
    </w:p>
    <w:p>
      <w:pPr>
        <w:keepNext w:val="0"/>
        <w:keepLines w:val="0"/>
        <w:pageBreakBefore w:val="0"/>
        <w:kinsoku/>
        <w:wordWrap/>
        <w:overflowPunct/>
        <w:topLinePunct w:val="0"/>
        <w:autoSpaceDE/>
        <w:autoSpaceDN/>
        <w:bidi w:val="0"/>
        <w:adjustRightInd w:val="0"/>
        <w:snapToGrid w:val="0"/>
        <w:spacing w:line="580" w:lineRule="exact"/>
        <w:ind w:firstLine="640" w:firstLineChars="200"/>
        <w:rPr>
          <w:rFonts w:hint="eastAsia"/>
          <w:color w:val="auto"/>
          <w:lang w:eastAsia="zh-CN"/>
        </w:rPr>
      </w:pPr>
      <w:r>
        <w:rPr>
          <w:rFonts w:hint="eastAsia" w:ascii="仿宋_GB2312" w:hAnsi="仿宋_GB2312" w:cs="仿宋_GB2312"/>
          <w:color w:val="auto"/>
          <w:szCs w:val="32"/>
          <w:lang w:val="en-US" w:eastAsia="zh-CN"/>
        </w:rPr>
        <w:t>3.</w:t>
      </w:r>
      <w:r>
        <w:rPr>
          <w:rFonts w:hint="eastAsia" w:ascii="仿宋_GB2312" w:hAnsi="仿宋_GB2312" w:cs="仿宋_GB2312"/>
          <w:color w:val="auto"/>
          <w:szCs w:val="32"/>
        </w:rPr>
        <w:t>决赛试题。选手按赛场提供的实操任务书以现场实际操作的方式完成三个模块的实操项目</w:t>
      </w:r>
      <w:r>
        <w:rPr>
          <w:rFonts w:hint="eastAsia" w:ascii="仿宋_GB2312" w:hAnsi="仿宋_GB2312" w:cs="仿宋_GB2312"/>
          <w:color w:val="auto"/>
          <w:szCs w:val="32"/>
          <w:lang w:eastAsia="zh-CN"/>
        </w:rPr>
        <w:t>。</w:t>
      </w:r>
    </w:p>
    <w:tbl>
      <w:tblPr>
        <w:tblStyle w:val="8"/>
        <w:tblW w:w="10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6361"/>
        <w:gridCol w:w="1036"/>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
              <w:keepNext w:val="0"/>
              <w:keepLines w:val="0"/>
              <w:pageBreakBefore w:val="0"/>
              <w:widowControl w:val="0"/>
              <w:kinsoku/>
              <w:wordWrap/>
              <w:overflowPunct/>
              <w:topLinePunct w:val="0"/>
              <w:autoSpaceDE/>
              <w:autoSpaceDN/>
              <w:bidi w:val="0"/>
              <w:spacing w:line="400" w:lineRule="exact"/>
              <w:jc w:val="center"/>
              <w:textAlignment w:val="auto"/>
              <w:rPr>
                <w:rFonts w:ascii="仿宋_GB2312" w:hAnsi="仿宋_GB2312" w:cs="仿宋_GB2312"/>
                <w:b/>
                <w:bCs/>
                <w:color w:val="auto"/>
                <w:sz w:val="24"/>
                <w:szCs w:val="24"/>
              </w:rPr>
            </w:pPr>
            <w:r>
              <w:rPr>
                <w:rFonts w:hint="eastAsia" w:ascii="仿宋_GB2312" w:hAnsi="仿宋_GB2312" w:cs="仿宋_GB2312"/>
                <w:b/>
                <w:bCs/>
                <w:color w:val="auto"/>
                <w:sz w:val="24"/>
                <w:szCs w:val="24"/>
              </w:rPr>
              <w:t>竞赛项目</w:t>
            </w:r>
          </w:p>
        </w:tc>
        <w:tc>
          <w:tcPr>
            <w:tcW w:w="6361" w:type="dxa"/>
            <w:tcBorders>
              <w:top w:val="single" w:color="auto" w:sz="4" w:space="0"/>
              <w:left w:val="single" w:color="auto" w:sz="4" w:space="0"/>
              <w:bottom w:val="single" w:color="auto" w:sz="4" w:space="0"/>
              <w:right w:val="single" w:color="auto" w:sz="4" w:space="0"/>
            </w:tcBorders>
            <w:vAlign w:val="center"/>
          </w:tcPr>
          <w:p>
            <w:pPr>
              <w:pStyle w:val="2"/>
              <w:keepNext w:val="0"/>
              <w:keepLines w:val="0"/>
              <w:pageBreakBefore w:val="0"/>
              <w:widowControl w:val="0"/>
              <w:kinsoku/>
              <w:wordWrap/>
              <w:overflowPunct/>
              <w:topLinePunct w:val="0"/>
              <w:autoSpaceDE/>
              <w:autoSpaceDN/>
              <w:bidi w:val="0"/>
              <w:spacing w:line="400" w:lineRule="exact"/>
              <w:jc w:val="center"/>
              <w:textAlignment w:val="auto"/>
              <w:rPr>
                <w:rFonts w:ascii="仿宋_GB2312" w:hAnsi="仿宋_GB2312" w:cs="仿宋_GB2312"/>
                <w:b/>
                <w:bCs/>
                <w:color w:val="auto"/>
                <w:sz w:val="24"/>
                <w:szCs w:val="24"/>
              </w:rPr>
            </w:pPr>
            <w:r>
              <w:rPr>
                <w:rFonts w:hint="eastAsia" w:ascii="仿宋_GB2312" w:hAnsi="仿宋_GB2312" w:cs="仿宋_GB2312"/>
                <w:b/>
                <w:bCs/>
                <w:color w:val="auto"/>
                <w:sz w:val="24"/>
                <w:szCs w:val="24"/>
              </w:rPr>
              <w:t>竞赛要求</w:t>
            </w:r>
          </w:p>
        </w:tc>
        <w:tc>
          <w:tcPr>
            <w:tcW w:w="1036" w:type="dxa"/>
            <w:tcBorders>
              <w:top w:val="single" w:color="auto" w:sz="4" w:space="0"/>
              <w:left w:val="single" w:color="auto" w:sz="4" w:space="0"/>
              <w:bottom w:val="single" w:color="auto" w:sz="4" w:space="0"/>
              <w:right w:val="single" w:color="auto" w:sz="4" w:space="0"/>
            </w:tcBorders>
            <w:vAlign w:val="center"/>
          </w:tcPr>
          <w:p>
            <w:pPr>
              <w:pStyle w:val="2"/>
              <w:keepNext w:val="0"/>
              <w:keepLines w:val="0"/>
              <w:pageBreakBefore w:val="0"/>
              <w:widowControl w:val="0"/>
              <w:kinsoku/>
              <w:wordWrap/>
              <w:overflowPunct/>
              <w:topLinePunct w:val="0"/>
              <w:autoSpaceDE/>
              <w:autoSpaceDN/>
              <w:bidi w:val="0"/>
              <w:spacing w:line="400" w:lineRule="exact"/>
              <w:jc w:val="center"/>
              <w:textAlignment w:val="auto"/>
              <w:rPr>
                <w:rFonts w:hint="default" w:ascii="仿宋_GB2312" w:hAnsi="仿宋_GB2312" w:eastAsia="仿宋_GB2312" w:cs="仿宋_GB2312"/>
                <w:b/>
                <w:bCs/>
                <w:color w:val="auto"/>
                <w:sz w:val="24"/>
                <w:szCs w:val="24"/>
                <w:lang w:val="en-US" w:eastAsia="zh-CN"/>
              </w:rPr>
            </w:pPr>
            <w:r>
              <w:rPr>
                <w:rFonts w:hint="eastAsia" w:ascii="仿宋_GB2312" w:hAnsi="仿宋_GB2312" w:cs="仿宋_GB2312"/>
                <w:b/>
                <w:bCs/>
                <w:color w:val="auto"/>
                <w:sz w:val="24"/>
                <w:szCs w:val="24"/>
                <w:lang w:val="en-US" w:eastAsia="zh-CN"/>
              </w:rPr>
              <w:t>配分</w:t>
            </w:r>
          </w:p>
        </w:tc>
        <w:tc>
          <w:tcPr>
            <w:tcW w:w="116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cs="仿宋_GB2312"/>
                <w:b/>
                <w:bCs/>
                <w:color w:val="auto"/>
                <w:sz w:val="24"/>
                <w:szCs w:val="24"/>
              </w:rPr>
              <w:t>权重</w:t>
            </w:r>
            <w:r>
              <w:rPr>
                <w:rFonts w:hint="eastAsia" w:ascii="仿宋_GB2312" w:hAnsi="仿宋_GB2312" w:cs="仿宋_GB2312"/>
                <w:b/>
                <w:bCs/>
                <w:color w:val="auto"/>
                <w:sz w:val="24"/>
                <w:szCs w:val="24"/>
                <w:lang w:eastAsia="zh-CN"/>
              </w:rPr>
              <w:t>（</w:t>
            </w:r>
            <w:r>
              <w:rPr>
                <w:rFonts w:hint="eastAsia" w:ascii="仿宋_GB2312" w:hAnsi="仿宋_GB2312" w:cs="仿宋_GB2312"/>
                <w:b/>
                <w:bCs/>
                <w:color w:val="auto"/>
                <w:sz w:val="24"/>
                <w:szCs w:val="24"/>
                <w:lang w:val="en-US" w:eastAsia="zh-CN"/>
              </w:rPr>
              <w:t>%</w:t>
            </w:r>
            <w:r>
              <w:rPr>
                <w:rFonts w:hint="eastAsia" w:ascii="仿宋_GB2312" w:hAnsi="仿宋_GB2312" w:cs="仿宋_GB2312"/>
                <w:b/>
                <w:bCs/>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仿宋_GB2312" w:hAnsi="仿宋_GB2312" w:cs="仿宋_GB2312"/>
                <w:bCs/>
                <w:color w:val="auto"/>
                <w:sz w:val="24"/>
                <w:szCs w:val="24"/>
              </w:rPr>
            </w:pPr>
            <w:r>
              <w:rPr>
                <w:rFonts w:hint="eastAsia" w:ascii="仿宋_GB2312" w:hAnsi="仿宋_GB2312" w:cs="仿宋_GB2312"/>
                <w:bCs/>
                <w:color w:val="auto"/>
                <w:sz w:val="24"/>
                <w:szCs w:val="24"/>
              </w:rPr>
              <w:t>项目A</w:t>
            </w:r>
            <w:r>
              <w:rPr>
                <w:rFonts w:hint="eastAsia" w:ascii="仿宋_GB2312" w:hAnsi="仿宋_GB2312" w:cs="仿宋_GB2312"/>
                <w:color w:val="auto"/>
                <w:kern w:val="0"/>
                <w:sz w:val="24"/>
                <w:szCs w:val="24"/>
                <w:lang w:val="en-US" w:eastAsia="zh-CN"/>
              </w:rPr>
              <w:t>电池组装方案设计</w:t>
            </w:r>
          </w:p>
        </w:tc>
        <w:tc>
          <w:tcPr>
            <w:tcW w:w="636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ascii="仿宋_GB2312" w:hAnsi="仿宋_GB2312" w:cs="仿宋_GB2312"/>
                <w:color w:val="auto"/>
                <w:sz w:val="24"/>
                <w:szCs w:val="24"/>
              </w:rPr>
            </w:pPr>
            <w:r>
              <w:rPr>
                <w:rFonts w:hint="eastAsia" w:ascii="仿宋_GB2312" w:hAnsi="仿宋_GB2312" w:cs="仿宋_GB2312"/>
                <w:color w:val="auto"/>
                <w:sz w:val="24"/>
                <w:szCs w:val="24"/>
              </w:rPr>
              <w:t>电池组装方案设计，根据设计方案，选配组装部件，确保正确性和兼容性。</w:t>
            </w:r>
          </w:p>
        </w:tc>
        <w:tc>
          <w:tcPr>
            <w:tcW w:w="1036" w:type="dxa"/>
            <w:tcBorders>
              <w:top w:val="single" w:color="auto" w:sz="4" w:space="0"/>
              <w:left w:val="single" w:color="auto" w:sz="4" w:space="0"/>
              <w:bottom w:val="single" w:color="auto" w:sz="4" w:space="0"/>
              <w:right w:val="single" w:color="auto" w:sz="4" w:space="0"/>
            </w:tcBorders>
            <w:vAlign w:val="center"/>
          </w:tcPr>
          <w:p>
            <w:pPr>
              <w:pStyle w:val="2"/>
              <w:keepNext w:val="0"/>
              <w:keepLines w:val="0"/>
              <w:pageBreakBefore w:val="0"/>
              <w:widowControl w:val="0"/>
              <w:kinsoku/>
              <w:wordWrap/>
              <w:overflowPunct/>
              <w:topLinePunct w:val="0"/>
              <w:autoSpaceDE/>
              <w:autoSpaceDN/>
              <w:bidi w:val="0"/>
              <w:spacing w:line="400" w:lineRule="exact"/>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30分</w:t>
            </w:r>
          </w:p>
        </w:tc>
        <w:tc>
          <w:tcPr>
            <w:tcW w:w="116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仿宋_GB2312" w:hAnsi="仿宋_GB2312" w:cs="仿宋_GB2312"/>
                <w:bCs/>
                <w:color w:val="auto"/>
                <w:sz w:val="24"/>
                <w:szCs w:val="24"/>
              </w:rPr>
            </w:pPr>
            <w:r>
              <w:rPr>
                <w:rFonts w:hint="eastAsia" w:ascii="仿宋_GB2312" w:hAnsi="仿宋_GB2312" w:cs="仿宋_GB2312"/>
                <w:bCs/>
                <w:color w:val="auto"/>
                <w:sz w:val="24"/>
                <w:szCs w:val="24"/>
              </w:rPr>
              <w:t>项目B</w:t>
            </w:r>
          </w:p>
          <w:p>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仿宋_GB2312" w:hAnsi="仿宋_GB2312" w:cs="仿宋_GB2312"/>
                <w:bCs/>
                <w:color w:val="auto"/>
                <w:sz w:val="24"/>
                <w:szCs w:val="24"/>
              </w:rPr>
            </w:pPr>
            <w:r>
              <w:rPr>
                <w:rFonts w:hint="eastAsia" w:ascii="仿宋_GB2312" w:hAnsi="仿宋_GB2312" w:cs="仿宋_GB2312"/>
                <w:bCs/>
                <w:color w:val="auto"/>
                <w:sz w:val="24"/>
                <w:szCs w:val="24"/>
              </w:rPr>
              <w:t>电池</w:t>
            </w:r>
            <w:r>
              <w:rPr>
                <w:rFonts w:hint="eastAsia" w:ascii="仿宋_GB2312" w:hAnsi="仿宋_GB2312" w:cs="仿宋_GB2312"/>
                <w:bCs/>
                <w:color w:val="auto"/>
                <w:sz w:val="24"/>
                <w:szCs w:val="24"/>
                <w:lang w:val="en-US" w:eastAsia="zh-CN"/>
              </w:rPr>
              <w:t>单体筛选、电池模组组装</w:t>
            </w:r>
          </w:p>
        </w:tc>
        <w:tc>
          <w:tcPr>
            <w:tcW w:w="636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_GB2312" w:hAnsi="仿宋_GB2312" w:eastAsia="仿宋_GB2312" w:cs="仿宋_GB2312"/>
                <w:color w:val="auto"/>
                <w:sz w:val="24"/>
                <w:szCs w:val="24"/>
                <w:lang w:eastAsia="zh-CN"/>
              </w:rPr>
            </w:pPr>
            <w:r>
              <w:rPr>
                <w:rFonts w:hint="eastAsia" w:ascii="仿宋_GB2312" w:hAnsi="仿宋_GB2312" w:cs="仿宋_GB2312"/>
                <w:color w:val="auto"/>
                <w:sz w:val="24"/>
                <w:szCs w:val="24"/>
              </w:rPr>
              <w:t>从桌面提供的单体电池样品中，筛选出技术参数合格、符合电池模组数量的单体电池，按技术规范要求进行组装，使其达到优质的使用要求。</w:t>
            </w:r>
          </w:p>
        </w:tc>
        <w:tc>
          <w:tcPr>
            <w:tcW w:w="1036" w:type="dxa"/>
            <w:tcBorders>
              <w:top w:val="single" w:color="auto" w:sz="4" w:space="0"/>
              <w:left w:val="single" w:color="auto" w:sz="4" w:space="0"/>
              <w:bottom w:val="single" w:color="auto" w:sz="4" w:space="0"/>
              <w:right w:val="single" w:color="auto" w:sz="4" w:space="0"/>
            </w:tcBorders>
            <w:vAlign w:val="center"/>
          </w:tcPr>
          <w:p>
            <w:pPr>
              <w:pStyle w:val="2"/>
              <w:keepNext w:val="0"/>
              <w:keepLines w:val="0"/>
              <w:pageBreakBefore w:val="0"/>
              <w:widowControl w:val="0"/>
              <w:kinsoku/>
              <w:wordWrap/>
              <w:overflowPunct/>
              <w:topLinePunct w:val="0"/>
              <w:autoSpaceDE/>
              <w:autoSpaceDN/>
              <w:bidi w:val="0"/>
              <w:spacing w:line="400" w:lineRule="exact"/>
              <w:jc w:val="center"/>
              <w:textAlignment w:val="auto"/>
              <w:rPr>
                <w:rFonts w:ascii="仿宋_GB2312" w:hAnsi="仿宋_GB2312" w:cs="仿宋_GB2312"/>
                <w:color w:val="auto"/>
                <w:sz w:val="24"/>
                <w:szCs w:val="24"/>
              </w:rPr>
            </w:pPr>
            <w:r>
              <w:rPr>
                <w:rFonts w:hint="eastAsia" w:ascii="仿宋_GB2312" w:hAnsi="仿宋_GB2312" w:cs="仿宋_GB2312"/>
                <w:color w:val="auto"/>
                <w:sz w:val="24"/>
                <w:szCs w:val="24"/>
                <w:lang w:val="en-US" w:eastAsia="zh-CN"/>
              </w:rPr>
              <w:t>30分</w:t>
            </w:r>
          </w:p>
        </w:tc>
        <w:tc>
          <w:tcPr>
            <w:tcW w:w="116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仿宋_GB2312" w:hAnsi="仿宋_GB2312" w:cs="仿宋_GB2312"/>
                <w:bCs/>
                <w:color w:val="auto"/>
                <w:sz w:val="24"/>
                <w:szCs w:val="24"/>
              </w:rPr>
            </w:pPr>
            <w:r>
              <w:rPr>
                <w:rFonts w:hint="eastAsia" w:ascii="仿宋_GB2312" w:hAnsi="仿宋_GB2312" w:cs="仿宋_GB2312"/>
                <w:bCs/>
                <w:color w:val="auto"/>
                <w:sz w:val="24"/>
                <w:szCs w:val="24"/>
              </w:rPr>
              <w:t xml:space="preserve">项目C </w:t>
            </w:r>
          </w:p>
          <w:p>
            <w:pPr>
              <w:keepNext w:val="0"/>
              <w:keepLines w:val="0"/>
              <w:pageBreakBefore w:val="0"/>
              <w:widowControl w:val="0"/>
              <w:kinsoku/>
              <w:wordWrap/>
              <w:overflowPunct/>
              <w:topLinePunct w:val="0"/>
              <w:autoSpaceDE/>
              <w:autoSpaceDN/>
              <w:bidi w:val="0"/>
              <w:snapToGrid w:val="0"/>
              <w:spacing w:line="400" w:lineRule="exact"/>
              <w:jc w:val="center"/>
              <w:textAlignment w:val="auto"/>
              <w:rPr>
                <w:rFonts w:ascii="仿宋_GB2312" w:hAnsi="仿宋_GB2312" w:cs="仿宋_GB2312"/>
                <w:bCs/>
                <w:color w:val="auto"/>
                <w:sz w:val="24"/>
                <w:szCs w:val="24"/>
              </w:rPr>
            </w:pPr>
            <w:r>
              <w:rPr>
                <w:rFonts w:hint="eastAsia" w:ascii="仿宋_GB2312" w:hAnsi="仿宋_GB2312" w:cs="仿宋_GB2312"/>
                <w:bCs/>
                <w:color w:val="auto"/>
                <w:sz w:val="24"/>
                <w:szCs w:val="24"/>
              </w:rPr>
              <w:t>电池系统组装</w:t>
            </w:r>
          </w:p>
        </w:tc>
        <w:tc>
          <w:tcPr>
            <w:tcW w:w="636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ascii="仿宋_GB2312" w:hAnsi="仿宋_GB2312" w:cs="仿宋_GB2312"/>
                <w:color w:val="auto"/>
                <w:sz w:val="24"/>
                <w:szCs w:val="24"/>
              </w:rPr>
            </w:pPr>
            <w:r>
              <w:rPr>
                <w:rFonts w:hint="eastAsia" w:ascii="仿宋_GB2312" w:hAnsi="仿宋_GB2312" w:cs="仿宋_GB2312"/>
                <w:color w:val="auto"/>
                <w:sz w:val="24"/>
                <w:szCs w:val="24"/>
              </w:rPr>
              <w:t>组装一个（如48V）功率型电池系统，选择相应的元器件</w:t>
            </w: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线</w:t>
            </w:r>
            <w:r>
              <w:rPr>
                <w:rFonts w:hint="eastAsia" w:ascii="仿宋_GB2312" w:hAnsi="仿宋_GB2312" w:cs="仿宋_GB2312"/>
                <w:color w:val="auto"/>
                <w:sz w:val="24"/>
                <w:szCs w:val="24"/>
                <w:lang w:eastAsia="zh-CN"/>
              </w:rPr>
              <w:t>束、</w:t>
            </w:r>
            <w:r>
              <w:rPr>
                <w:rFonts w:hint="eastAsia" w:ascii="仿宋_GB2312" w:hAnsi="仿宋_GB2312" w:cs="仿宋_GB2312"/>
                <w:color w:val="auto"/>
                <w:sz w:val="24"/>
                <w:szCs w:val="24"/>
              </w:rPr>
              <w:t>连接件，按照合理规范的流程连接，确保组装的电池系统能够满足相应的性能指标。</w:t>
            </w:r>
          </w:p>
        </w:tc>
        <w:tc>
          <w:tcPr>
            <w:tcW w:w="1036" w:type="dxa"/>
            <w:tcBorders>
              <w:top w:val="single" w:color="auto" w:sz="4" w:space="0"/>
              <w:left w:val="single" w:color="auto" w:sz="4" w:space="0"/>
              <w:bottom w:val="single" w:color="auto" w:sz="4" w:space="0"/>
              <w:right w:val="single" w:color="auto" w:sz="4" w:space="0"/>
            </w:tcBorders>
            <w:vAlign w:val="center"/>
          </w:tcPr>
          <w:p>
            <w:pPr>
              <w:pStyle w:val="2"/>
              <w:keepNext w:val="0"/>
              <w:keepLines w:val="0"/>
              <w:pageBreakBefore w:val="0"/>
              <w:widowControl w:val="0"/>
              <w:kinsoku/>
              <w:wordWrap/>
              <w:overflowPunct/>
              <w:topLinePunct w:val="0"/>
              <w:autoSpaceDE/>
              <w:autoSpaceDN/>
              <w:bidi w:val="0"/>
              <w:spacing w:line="400" w:lineRule="exact"/>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40分</w:t>
            </w:r>
          </w:p>
        </w:tc>
        <w:tc>
          <w:tcPr>
            <w:tcW w:w="116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rPr>
              <w:t>40</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（三）评判标准</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pacing w:val="-6"/>
          <w:kern w:val="1"/>
          <w:sz w:val="32"/>
          <w:szCs w:val="32"/>
        </w:rPr>
      </w:pPr>
      <w:r>
        <w:rPr>
          <w:rFonts w:hint="eastAsia" w:ascii="仿宋_GB2312" w:hAnsi="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分数权重：</w:t>
      </w:r>
      <w:r>
        <w:rPr>
          <w:rFonts w:hint="eastAsia" w:ascii="仿宋_GB2312" w:hAnsi="仿宋_GB2312" w:eastAsia="仿宋_GB2312" w:cs="仿宋_GB2312"/>
          <w:color w:val="auto"/>
          <w:sz w:val="32"/>
          <w:szCs w:val="32"/>
        </w:rPr>
        <w:t>初赛成绩占30%、决赛成绩占70%，参赛选手赛后综合成绩＝初赛成绩×30%+决赛成绩×70%。</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决赛：评价样表如下（具体评分标准以现场评分表为准）</w:t>
      </w:r>
    </w:p>
    <w:tbl>
      <w:tblPr>
        <w:tblStyle w:val="8"/>
        <w:tblW w:w="10110" w:type="dxa"/>
        <w:tblInd w:w="-779" w:type="dxa"/>
        <w:tblLayout w:type="fixed"/>
        <w:tblCellMar>
          <w:top w:w="0" w:type="dxa"/>
          <w:left w:w="108" w:type="dxa"/>
          <w:bottom w:w="0" w:type="dxa"/>
          <w:right w:w="108" w:type="dxa"/>
        </w:tblCellMar>
      </w:tblPr>
      <w:tblGrid>
        <w:gridCol w:w="3325"/>
        <w:gridCol w:w="1312"/>
        <w:gridCol w:w="5473"/>
      </w:tblGrid>
      <w:tr>
        <w:tblPrEx>
          <w:tblCellMar>
            <w:top w:w="0" w:type="dxa"/>
            <w:left w:w="108" w:type="dxa"/>
            <w:bottom w:w="0" w:type="dxa"/>
            <w:right w:w="108" w:type="dxa"/>
          </w:tblCellMar>
        </w:tblPrEx>
        <w:trPr>
          <w:trHeight w:val="420" w:hRule="atLeast"/>
        </w:trPr>
        <w:tc>
          <w:tcPr>
            <w:tcW w:w="101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模块A：电池组装方案设计</w:t>
            </w:r>
          </w:p>
        </w:tc>
      </w:tr>
      <w:tr>
        <w:tblPrEx>
          <w:tblCellMar>
            <w:top w:w="0" w:type="dxa"/>
            <w:left w:w="108" w:type="dxa"/>
            <w:bottom w:w="0" w:type="dxa"/>
            <w:right w:w="108" w:type="dxa"/>
          </w:tblCellMar>
        </w:tblPrEx>
        <w:trPr>
          <w:trHeight w:val="420" w:hRule="atLeast"/>
        </w:trPr>
        <w:tc>
          <w:tcPr>
            <w:tcW w:w="3325"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cs="仿宋_GB2312"/>
                <w:b w:val="0"/>
                <w:bCs w:val="0"/>
                <w:color w:val="auto"/>
                <w:sz w:val="24"/>
                <w:szCs w:val="24"/>
                <w:lang w:val="en-US" w:eastAsia="zh-CN"/>
              </w:rPr>
              <w:t>评价内容</w:t>
            </w:r>
          </w:p>
        </w:tc>
        <w:tc>
          <w:tcPr>
            <w:tcW w:w="13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b w:val="0"/>
                <w:bCs w:val="0"/>
                <w:color w:val="auto"/>
                <w:sz w:val="24"/>
                <w:szCs w:val="24"/>
                <w:lang w:eastAsia="zh-CN"/>
              </w:rPr>
            </w:pPr>
            <w:r>
              <w:rPr>
                <w:rFonts w:hint="eastAsia" w:ascii="仿宋_GB2312" w:hAnsi="仿宋_GB2312" w:cs="仿宋_GB2312"/>
                <w:b w:val="0"/>
                <w:bCs w:val="0"/>
                <w:color w:val="auto"/>
                <w:sz w:val="24"/>
                <w:szCs w:val="24"/>
                <w:lang w:val="en-US" w:eastAsia="zh-CN"/>
              </w:rPr>
              <w:t>配分</w:t>
            </w:r>
          </w:p>
        </w:tc>
        <w:tc>
          <w:tcPr>
            <w:tcW w:w="547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仿宋_GB2312" w:hAnsi="仿宋_GB2312" w:cs="仿宋_GB2312"/>
                <w:b w:val="0"/>
                <w:bCs w:val="0"/>
                <w:color w:val="auto"/>
                <w:sz w:val="24"/>
                <w:szCs w:val="24"/>
                <w:lang w:val="en-US" w:eastAsia="zh-CN"/>
              </w:rPr>
            </w:pPr>
            <w:r>
              <w:rPr>
                <w:rFonts w:hint="eastAsia" w:ascii="仿宋_GB2312" w:hAnsi="仿宋_GB2312" w:cs="仿宋_GB2312"/>
                <w:b w:val="0"/>
                <w:bCs w:val="0"/>
                <w:color w:val="auto"/>
                <w:sz w:val="24"/>
                <w:szCs w:val="24"/>
                <w:lang w:val="en-US" w:eastAsia="zh-CN"/>
              </w:rPr>
              <w:t>具体内容</w:t>
            </w:r>
          </w:p>
        </w:tc>
      </w:tr>
      <w:tr>
        <w:tblPrEx>
          <w:tblCellMar>
            <w:top w:w="0" w:type="dxa"/>
            <w:left w:w="108" w:type="dxa"/>
            <w:bottom w:w="0" w:type="dxa"/>
            <w:right w:w="108" w:type="dxa"/>
          </w:tblCellMar>
        </w:tblPrEx>
        <w:trPr>
          <w:trHeight w:val="420" w:hRule="atLeast"/>
        </w:trPr>
        <w:tc>
          <w:tcPr>
            <w:tcW w:w="332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分析</w:t>
            </w:r>
            <w:r>
              <w:rPr>
                <w:rFonts w:hint="eastAsia" w:ascii="仿宋_GB2312" w:hAnsi="仿宋_GB2312" w:cs="仿宋_GB2312"/>
                <w:color w:val="auto"/>
                <w:sz w:val="24"/>
                <w:szCs w:val="24"/>
                <w:lang w:val="en-US" w:eastAsia="zh-CN"/>
              </w:rPr>
              <w:t>实操任务书</w:t>
            </w:r>
            <w:r>
              <w:rPr>
                <w:rFonts w:hint="eastAsia" w:ascii="仿宋_GB2312" w:hAnsi="仿宋_GB2312" w:eastAsia="仿宋_GB2312" w:cs="仿宋_GB2312"/>
                <w:color w:val="auto"/>
                <w:sz w:val="24"/>
                <w:szCs w:val="24"/>
              </w:rPr>
              <w:t>，确定电池组装所需的主要设备和选件</w:t>
            </w:r>
          </w:p>
        </w:tc>
        <w:tc>
          <w:tcPr>
            <w:tcW w:w="1312"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仿宋_GB2312" w:hAnsi="仿宋_GB2312" w:eastAsia="仿宋_GB2312" w:cs="仿宋_GB2312"/>
                <w:color w:val="auto"/>
                <w:sz w:val="24"/>
                <w:szCs w:val="24"/>
                <w:lang w:val="en-US"/>
              </w:rPr>
            </w:pPr>
            <w:r>
              <w:rPr>
                <w:rFonts w:hint="eastAsia" w:ascii="仿宋_GB2312" w:hAnsi="仿宋_GB2312" w:eastAsia="仿宋_GB2312" w:cs="仿宋_GB2312"/>
                <w:color w:val="auto"/>
                <w:sz w:val="24"/>
                <w:szCs w:val="24"/>
                <w:lang w:val="en-US" w:eastAsia="zh-CN"/>
              </w:rPr>
              <w:t>20</w:t>
            </w:r>
            <w:r>
              <w:rPr>
                <w:rFonts w:hint="eastAsia" w:ascii="仿宋_GB2312" w:hAnsi="仿宋_GB2312" w:cs="仿宋_GB2312"/>
                <w:color w:val="auto"/>
                <w:sz w:val="24"/>
                <w:szCs w:val="24"/>
                <w:lang w:val="en-US" w:eastAsia="zh-CN"/>
              </w:rPr>
              <w:t>分</w:t>
            </w: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列出所有必需的主要设备和选件</w:t>
            </w:r>
          </w:p>
        </w:tc>
      </w:tr>
      <w:tr>
        <w:tblPrEx>
          <w:tblCellMar>
            <w:top w:w="0" w:type="dxa"/>
            <w:left w:w="108" w:type="dxa"/>
            <w:bottom w:w="0" w:type="dxa"/>
            <w:right w:w="108" w:type="dxa"/>
          </w:tblCellMar>
        </w:tblPrEx>
        <w:trPr>
          <w:trHeight w:val="420" w:hRule="atLeast"/>
        </w:trPr>
        <w:tc>
          <w:tcPr>
            <w:tcW w:w="332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color w:val="auto"/>
              </w:rPr>
            </w:pPr>
          </w:p>
        </w:tc>
        <w:tc>
          <w:tcPr>
            <w:tcW w:w="1312" w:type="dxa"/>
            <w:vMerge w:val="continue"/>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color w:val="auto"/>
              </w:rPr>
            </w:pP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主要设备和选件的选择与设计方案</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匹配</w:t>
            </w:r>
          </w:p>
        </w:tc>
      </w:tr>
      <w:tr>
        <w:tblPrEx>
          <w:tblCellMar>
            <w:top w:w="0" w:type="dxa"/>
            <w:left w:w="108" w:type="dxa"/>
            <w:bottom w:w="0" w:type="dxa"/>
            <w:right w:w="108" w:type="dxa"/>
          </w:tblCellMar>
        </w:tblPrEx>
        <w:trPr>
          <w:trHeight w:val="420" w:hRule="atLeast"/>
        </w:trPr>
        <w:tc>
          <w:tcPr>
            <w:tcW w:w="332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p>
        </w:tc>
        <w:tc>
          <w:tcPr>
            <w:tcW w:w="1312" w:type="dxa"/>
            <w:vMerge w:val="continue"/>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提供设备和选件的具体型号或规格</w:t>
            </w:r>
          </w:p>
        </w:tc>
      </w:tr>
      <w:tr>
        <w:tblPrEx>
          <w:tblCellMar>
            <w:top w:w="0" w:type="dxa"/>
            <w:left w:w="108" w:type="dxa"/>
            <w:bottom w:w="0" w:type="dxa"/>
            <w:right w:w="108" w:type="dxa"/>
          </w:tblCellMar>
        </w:tblPrEx>
        <w:trPr>
          <w:trHeight w:val="420" w:hRule="atLeast"/>
        </w:trPr>
        <w:tc>
          <w:tcPr>
            <w:tcW w:w="332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正确区分并选择符合要求的配件和材料</w:t>
            </w:r>
          </w:p>
        </w:tc>
        <w:tc>
          <w:tcPr>
            <w:tcW w:w="1312"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仿宋_GB2312" w:hAnsi="仿宋_GB2312" w:eastAsia="仿宋_GB2312" w:cs="仿宋_GB2312"/>
                <w:color w:val="auto"/>
                <w:sz w:val="24"/>
                <w:szCs w:val="24"/>
                <w:lang w:val="en-US"/>
              </w:rPr>
            </w:pPr>
            <w:r>
              <w:rPr>
                <w:rFonts w:hint="eastAsia" w:ascii="仿宋_GB2312" w:hAnsi="仿宋_GB2312" w:eastAsia="仿宋_GB2312" w:cs="仿宋_GB2312"/>
                <w:color w:val="auto"/>
                <w:sz w:val="24"/>
                <w:szCs w:val="24"/>
                <w:lang w:val="en-US" w:eastAsia="zh-CN"/>
              </w:rPr>
              <w:t>30</w:t>
            </w:r>
            <w:r>
              <w:rPr>
                <w:rFonts w:hint="eastAsia" w:ascii="仿宋_GB2312" w:hAnsi="仿宋_GB2312" w:cs="仿宋_GB2312"/>
                <w:color w:val="auto"/>
                <w:sz w:val="24"/>
                <w:szCs w:val="24"/>
                <w:lang w:val="en-US" w:eastAsia="zh-CN"/>
              </w:rPr>
              <w:t>分</w:t>
            </w: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选择了符合技术要求的配件和材料</w:t>
            </w:r>
          </w:p>
        </w:tc>
      </w:tr>
      <w:tr>
        <w:tblPrEx>
          <w:tblCellMar>
            <w:top w:w="0" w:type="dxa"/>
            <w:left w:w="108" w:type="dxa"/>
            <w:bottom w:w="0" w:type="dxa"/>
            <w:right w:w="108" w:type="dxa"/>
          </w:tblCellMar>
        </w:tblPrEx>
        <w:trPr>
          <w:trHeight w:val="420" w:hRule="atLeast"/>
        </w:trPr>
        <w:tc>
          <w:tcPr>
            <w:tcW w:w="332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color w:val="auto"/>
              </w:rPr>
            </w:pPr>
          </w:p>
        </w:tc>
        <w:tc>
          <w:tcPr>
            <w:tcW w:w="1312" w:type="dxa"/>
            <w:vMerge w:val="continue"/>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color w:val="auto"/>
              </w:rPr>
            </w:pP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能正确区分配件和材料的质量和性能</w:t>
            </w:r>
          </w:p>
        </w:tc>
      </w:tr>
      <w:tr>
        <w:tblPrEx>
          <w:tblCellMar>
            <w:top w:w="0" w:type="dxa"/>
            <w:left w:w="108" w:type="dxa"/>
            <w:bottom w:w="0" w:type="dxa"/>
            <w:right w:w="108" w:type="dxa"/>
          </w:tblCellMar>
        </w:tblPrEx>
        <w:trPr>
          <w:trHeight w:val="420" w:hRule="atLeast"/>
        </w:trPr>
        <w:tc>
          <w:tcPr>
            <w:tcW w:w="332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p>
        </w:tc>
        <w:tc>
          <w:tcPr>
            <w:tcW w:w="1312" w:type="dxa"/>
            <w:vMerge w:val="continue"/>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配件和材料选择</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满足安全标准</w:t>
            </w:r>
          </w:p>
        </w:tc>
      </w:tr>
      <w:tr>
        <w:tblPrEx>
          <w:tblCellMar>
            <w:top w:w="0" w:type="dxa"/>
            <w:left w:w="108" w:type="dxa"/>
            <w:bottom w:w="0" w:type="dxa"/>
            <w:right w:w="108" w:type="dxa"/>
          </w:tblCellMar>
        </w:tblPrEx>
        <w:trPr>
          <w:trHeight w:val="423" w:hRule="atLeast"/>
        </w:trPr>
        <w:tc>
          <w:tcPr>
            <w:tcW w:w="332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确保所选设备和材料能够满足设计方案的性能指标</w:t>
            </w:r>
          </w:p>
        </w:tc>
        <w:tc>
          <w:tcPr>
            <w:tcW w:w="1312"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20</w:t>
            </w:r>
            <w:r>
              <w:rPr>
                <w:rFonts w:hint="eastAsia" w:ascii="仿宋_GB2312" w:hAnsi="仿宋_GB2312" w:cs="仿宋_GB2312"/>
                <w:color w:val="auto"/>
                <w:sz w:val="24"/>
                <w:szCs w:val="24"/>
                <w:lang w:val="en-US" w:eastAsia="zh-CN"/>
              </w:rPr>
              <w:t>分</w:t>
            </w: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所选设备和材料</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能覆盖所有性能指标</w:t>
            </w:r>
          </w:p>
        </w:tc>
      </w:tr>
      <w:tr>
        <w:tblPrEx>
          <w:tblCellMar>
            <w:top w:w="0" w:type="dxa"/>
            <w:left w:w="108" w:type="dxa"/>
            <w:bottom w:w="0" w:type="dxa"/>
            <w:right w:w="108" w:type="dxa"/>
          </w:tblCellMar>
        </w:tblPrEx>
        <w:trPr>
          <w:trHeight w:val="423" w:hRule="atLeast"/>
        </w:trPr>
        <w:tc>
          <w:tcPr>
            <w:tcW w:w="332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color w:val="auto"/>
              </w:rPr>
            </w:pPr>
          </w:p>
        </w:tc>
        <w:tc>
          <w:tcPr>
            <w:tcW w:w="1312" w:type="dxa"/>
            <w:vMerge w:val="continue"/>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color w:val="auto"/>
              </w:rPr>
            </w:pP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所选设备和材料</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超出预算限制</w:t>
            </w:r>
          </w:p>
        </w:tc>
      </w:tr>
      <w:tr>
        <w:tblPrEx>
          <w:tblCellMar>
            <w:top w:w="0" w:type="dxa"/>
            <w:left w:w="108" w:type="dxa"/>
            <w:bottom w:w="0" w:type="dxa"/>
            <w:right w:w="108" w:type="dxa"/>
          </w:tblCellMar>
        </w:tblPrEx>
        <w:trPr>
          <w:trHeight w:val="423" w:hRule="atLeast"/>
        </w:trPr>
        <w:tc>
          <w:tcPr>
            <w:tcW w:w="332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p>
        </w:tc>
        <w:tc>
          <w:tcPr>
            <w:tcW w:w="1312" w:type="dxa"/>
            <w:vMerge w:val="continue"/>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所选设备和材料</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能考虑长期可靠性</w:t>
            </w:r>
          </w:p>
        </w:tc>
      </w:tr>
      <w:tr>
        <w:tblPrEx>
          <w:tblCellMar>
            <w:top w:w="0" w:type="dxa"/>
            <w:left w:w="108" w:type="dxa"/>
            <w:bottom w:w="0" w:type="dxa"/>
            <w:right w:w="108" w:type="dxa"/>
          </w:tblCellMar>
        </w:tblPrEx>
        <w:trPr>
          <w:trHeight w:val="407" w:hRule="atLeast"/>
        </w:trPr>
        <w:tc>
          <w:tcPr>
            <w:tcW w:w="3325"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撰写分析报告，说明选择理由和如何满足设计方案要求</w:t>
            </w:r>
          </w:p>
        </w:tc>
        <w:tc>
          <w:tcPr>
            <w:tcW w:w="1312"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30</w:t>
            </w:r>
            <w:r>
              <w:rPr>
                <w:rFonts w:hint="eastAsia" w:ascii="仿宋_GB2312" w:hAnsi="仿宋_GB2312" w:cs="仿宋_GB2312"/>
                <w:color w:val="auto"/>
                <w:sz w:val="24"/>
                <w:szCs w:val="24"/>
                <w:lang w:val="en-US" w:eastAsia="zh-CN"/>
              </w:rPr>
              <w:t>分</w:t>
            </w: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报告内容</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完整，</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缺少关键信息</w:t>
            </w:r>
          </w:p>
        </w:tc>
      </w:tr>
      <w:tr>
        <w:tblPrEx>
          <w:tblCellMar>
            <w:top w:w="0" w:type="dxa"/>
            <w:left w:w="108" w:type="dxa"/>
            <w:bottom w:w="0" w:type="dxa"/>
            <w:right w:w="108" w:type="dxa"/>
          </w:tblCellMar>
        </w:tblPrEx>
        <w:trPr>
          <w:trHeight w:val="407" w:hRule="atLeast"/>
        </w:trPr>
        <w:tc>
          <w:tcPr>
            <w:tcW w:w="332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color w:val="auto"/>
              </w:rPr>
            </w:pPr>
          </w:p>
        </w:tc>
        <w:tc>
          <w:tcPr>
            <w:tcW w:w="1312" w:type="dxa"/>
            <w:vMerge w:val="continue"/>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color w:val="auto"/>
              </w:rPr>
            </w:pP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报告中的理由</w:t>
            </w:r>
            <w:r>
              <w:rPr>
                <w:rFonts w:hint="eastAsia" w:ascii="仿宋_GB2312" w:hAnsi="仿宋_GB2312" w:cs="仿宋_GB2312"/>
                <w:color w:val="auto"/>
                <w:sz w:val="24"/>
                <w:szCs w:val="24"/>
                <w:lang w:val="en-US" w:eastAsia="zh-CN"/>
              </w:rPr>
              <w:t>是否可以</w:t>
            </w:r>
            <w:r>
              <w:rPr>
                <w:rFonts w:hint="eastAsia" w:ascii="仿宋_GB2312" w:hAnsi="仿宋_GB2312" w:eastAsia="仿宋_GB2312" w:cs="仿宋_GB2312"/>
                <w:color w:val="auto"/>
                <w:sz w:val="24"/>
                <w:szCs w:val="24"/>
              </w:rPr>
              <w:t>说明清晰</w:t>
            </w:r>
          </w:p>
        </w:tc>
      </w:tr>
      <w:tr>
        <w:tblPrEx>
          <w:tblCellMar>
            <w:top w:w="0" w:type="dxa"/>
            <w:left w:w="108" w:type="dxa"/>
            <w:bottom w:w="0" w:type="dxa"/>
            <w:right w:w="108" w:type="dxa"/>
          </w:tblCellMar>
        </w:tblPrEx>
        <w:trPr>
          <w:trHeight w:val="407" w:hRule="atLeast"/>
        </w:trPr>
        <w:tc>
          <w:tcPr>
            <w:tcW w:w="3325"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p>
        </w:tc>
        <w:tc>
          <w:tcPr>
            <w:tcW w:w="1312" w:type="dxa"/>
            <w:vMerge w:val="continue"/>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报告</w:t>
            </w:r>
            <w:r>
              <w:rPr>
                <w:rFonts w:hint="eastAsia" w:ascii="仿宋_GB2312" w:hAnsi="仿宋_GB2312" w:cs="仿宋_GB2312"/>
                <w:color w:val="auto"/>
                <w:sz w:val="24"/>
                <w:szCs w:val="24"/>
                <w:lang w:val="en-US" w:eastAsia="zh-CN"/>
              </w:rPr>
              <w:t>是否可以</w:t>
            </w:r>
            <w:r>
              <w:rPr>
                <w:rFonts w:hint="eastAsia" w:ascii="仿宋_GB2312" w:hAnsi="仿宋_GB2312" w:eastAsia="仿宋_GB2312" w:cs="仿宋_GB2312"/>
                <w:color w:val="auto"/>
                <w:sz w:val="24"/>
                <w:szCs w:val="24"/>
              </w:rPr>
              <w:t>说明如何具体满足设计方案的要求</w:t>
            </w:r>
          </w:p>
        </w:tc>
      </w:tr>
      <w:tr>
        <w:tblPrEx>
          <w:tblCellMar>
            <w:top w:w="0" w:type="dxa"/>
            <w:left w:w="108" w:type="dxa"/>
            <w:bottom w:w="0" w:type="dxa"/>
            <w:right w:w="108" w:type="dxa"/>
          </w:tblCellMar>
        </w:tblPrEx>
        <w:trPr>
          <w:trHeight w:val="407" w:hRule="atLeast"/>
        </w:trPr>
        <w:tc>
          <w:tcPr>
            <w:tcW w:w="332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p>
        </w:tc>
        <w:tc>
          <w:tcPr>
            <w:tcW w:w="1312" w:type="dxa"/>
            <w:vMerge w:val="continue"/>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p>
        </w:tc>
        <w:tc>
          <w:tcPr>
            <w:tcW w:w="547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语言表达</w:t>
            </w:r>
            <w:r>
              <w:rPr>
                <w:rFonts w:hint="eastAsia" w:ascii="仿宋_GB2312" w:hAnsi="仿宋_GB2312" w:cs="仿宋_GB2312"/>
                <w:color w:val="auto"/>
                <w:sz w:val="24"/>
                <w:szCs w:val="24"/>
                <w:lang w:val="en-US" w:eastAsia="zh-CN"/>
              </w:rPr>
              <w:t>是否准确</w:t>
            </w:r>
            <w:r>
              <w:rPr>
                <w:rFonts w:hint="eastAsia" w:ascii="仿宋_GB2312" w:hAnsi="仿宋_GB2312" w:eastAsia="仿宋_GB2312" w:cs="仿宋_GB2312"/>
                <w:color w:val="auto"/>
                <w:sz w:val="24"/>
                <w:szCs w:val="24"/>
              </w:rPr>
              <w:t>，</w:t>
            </w:r>
            <w:r>
              <w:rPr>
                <w:rFonts w:hint="eastAsia" w:ascii="仿宋_GB2312" w:hAnsi="仿宋_GB2312" w:cs="仿宋_GB2312"/>
                <w:color w:val="auto"/>
                <w:sz w:val="24"/>
                <w:szCs w:val="24"/>
                <w:lang w:val="en-US" w:eastAsia="zh-CN"/>
              </w:rPr>
              <w:t>注意</w:t>
            </w:r>
            <w:r>
              <w:rPr>
                <w:rFonts w:hint="eastAsia" w:ascii="仿宋_GB2312" w:hAnsi="仿宋_GB2312" w:eastAsia="仿宋_GB2312" w:cs="仿宋_GB2312"/>
                <w:color w:val="auto"/>
                <w:sz w:val="24"/>
                <w:szCs w:val="24"/>
              </w:rPr>
              <w:t>拼写和语法</w:t>
            </w:r>
          </w:p>
        </w:tc>
      </w:tr>
      <w:tr>
        <w:tblPrEx>
          <w:tblCellMar>
            <w:top w:w="0" w:type="dxa"/>
            <w:left w:w="108" w:type="dxa"/>
            <w:bottom w:w="0" w:type="dxa"/>
            <w:right w:w="108" w:type="dxa"/>
          </w:tblCellMar>
        </w:tblPrEx>
        <w:trPr>
          <w:trHeight w:val="420" w:hRule="atLeast"/>
        </w:trPr>
        <w:tc>
          <w:tcPr>
            <w:tcW w:w="33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合计</w:t>
            </w:r>
          </w:p>
        </w:tc>
        <w:tc>
          <w:tcPr>
            <w:tcW w:w="6785"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100分</w:t>
            </w:r>
          </w:p>
        </w:tc>
      </w:tr>
    </w:tbl>
    <w:p>
      <w:pPr>
        <w:keepNext w:val="0"/>
        <w:keepLines w:val="0"/>
        <w:pageBreakBefore w:val="0"/>
        <w:kinsoku/>
        <w:wordWrap/>
        <w:overflowPunct/>
        <w:topLinePunct w:val="0"/>
        <w:autoSpaceDE/>
        <w:autoSpaceDN/>
        <w:bidi w:val="0"/>
        <w:spacing w:line="580" w:lineRule="exact"/>
        <w:jc w:val="both"/>
        <w:rPr>
          <w:color w:val="auto"/>
        </w:rPr>
      </w:pPr>
    </w:p>
    <w:tbl>
      <w:tblPr>
        <w:tblStyle w:val="8"/>
        <w:tblW w:w="10095" w:type="dxa"/>
        <w:tblInd w:w="-779" w:type="dxa"/>
        <w:tblLayout w:type="fixed"/>
        <w:tblCellMar>
          <w:top w:w="0" w:type="dxa"/>
          <w:left w:w="108" w:type="dxa"/>
          <w:bottom w:w="0" w:type="dxa"/>
          <w:right w:w="108" w:type="dxa"/>
        </w:tblCellMar>
      </w:tblPr>
      <w:tblGrid>
        <w:gridCol w:w="3325"/>
        <w:gridCol w:w="1312"/>
        <w:gridCol w:w="5458"/>
      </w:tblGrid>
      <w:tr>
        <w:tblPrEx>
          <w:tblCellMar>
            <w:top w:w="0" w:type="dxa"/>
            <w:left w:w="108" w:type="dxa"/>
            <w:bottom w:w="0" w:type="dxa"/>
            <w:right w:w="108" w:type="dxa"/>
          </w:tblCellMar>
        </w:tblPrEx>
        <w:trPr>
          <w:trHeight w:val="641" w:hRule="atLeast"/>
        </w:trPr>
        <w:tc>
          <w:tcPr>
            <w:tcW w:w="1009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模块B：电池单体筛选</w:t>
            </w:r>
            <w:r>
              <w:rPr>
                <w:rFonts w:hint="eastAsia" w:ascii="仿宋_GB2312" w:hAnsi="仿宋_GB2312" w:cs="仿宋_GB2312"/>
                <w:b/>
                <w:bCs/>
                <w:color w:val="auto"/>
                <w:sz w:val="24"/>
                <w:szCs w:val="24"/>
                <w:lang w:eastAsia="zh-CN"/>
              </w:rPr>
              <w:t>、电池</w:t>
            </w:r>
            <w:r>
              <w:rPr>
                <w:rFonts w:hint="eastAsia" w:ascii="仿宋_GB2312" w:hAnsi="仿宋_GB2312" w:eastAsia="仿宋_GB2312" w:cs="仿宋_GB2312"/>
                <w:b/>
                <w:bCs/>
                <w:color w:val="auto"/>
                <w:sz w:val="24"/>
                <w:szCs w:val="24"/>
              </w:rPr>
              <w:t>模组组装</w:t>
            </w:r>
          </w:p>
        </w:tc>
      </w:tr>
      <w:tr>
        <w:tblPrEx>
          <w:tblCellMar>
            <w:top w:w="0" w:type="dxa"/>
            <w:left w:w="108" w:type="dxa"/>
            <w:bottom w:w="0" w:type="dxa"/>
            <w:right w:w="108" w:type="dxa"/>
          </w:tblCellMar>
        </w:tblPrEx>
        <w:trPr>
          <w:trHeight w:val="420" w:hRule="atLeast"/>
        </w:trPr>
        <w:tc>
          <w:tcPr>
            <w:tcW w:w="33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cs="仿宋_GB2312"/>
                <w:b w:val="0"/>
                <w:bCs w:val="0"/>
                <w:color w:val="auto"/>
                <w:sz w:val="24"/>
                <w:szCs w:val="24"/>
                <w:lang w:val="en-US" w:eastAsia="zh-CN"/>
              </w:rPr>
              <w:t>评价内容</w:t>
            </w:r>
          </w:p>
        </w:tc>
        <w:tc>
          <w:tcPr>
            <w:tcW w:w="131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b w:val="0"/>
                <w:bCs w:val="0"/>
                <w:color w:val="auto"/>
                <w:sz w:val="24"/>
                <w:szCs w:val="24"/>
                <w:lang w:eastAsia="zh-CN"/>
              </w:rPr>
            </w:pPr>
            <w:r>
              <w:rPr>
                <w:rFonts w:hint="eastAsia" w:ascii="仿宋_GB2312" w:hAnsi="仿宋_GB2312" w:cs="仿宋_GB2312"/>
                <w:b w:val="0"/>
                <w:bCs w:val="0"/>
                <w:color w:val="auto"/>
                <w:sz w:val="24"/>
                <w:szCs w:val="24"/>
                <w:lang w:val="en-US" w:eastAsia="zh-CN"/>
              </w:rPr>
              <w:t>配分</w:t>
            </w:r>
          </w:p>
        </w:tc>
        <w:tc>
          <w:tcPr>
            <w:tcW w:w="545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仿宋_GB2312" w:hAnsi="仿宋_GB2312" w:cs="仿宋_GB2312"/>
                <w:b w:val="0"/>
                <w:bCs w:val="0"/>
                <w:color w:val="auto"/>
                <w:sz w:val="24"/>
                <w:szCs w:val="24"/>
                <w:lang w:val="en-US" w:eastAsia="zh-CN"/>
              </w:rPr>
            </w:pPr>
            <w:r>
              <w:rPr>
                <w:rFonts w:hint="eastAsia" w:ascii="仿宋_GB2312" w:hAnsi="仿宋_GB2312" w:cs="仿宋_GB2312"/>
                <w:b w:val="0"/>
                <w:bCs w:val="0"/>
                <w:color w:val="auto"/>
                <w:sz w:val="24"/>
                <w:szCs w:val="24"/>
                <w:lang w:val="en-US" w:eastAsia="zh-CN"/>
              </w:rPr>
              <w:t>具体内容</w:t>
            </w:r>
          </w:p>
        </w:tc>
      </w:tr>
      <w:tr>
        <w:tblPrEx>
          <w:tblCellMar>
            <w:top w:w="0" w:type="dxa"/>
            <w:left w:w="108" w:type="dxa"/>
            <w:bottom w:w="0" w:type="dxa"/>
            <w:right w:w="108" w:type="dxa"/>
          </w:tblCellMar>
        </w:tblPrEx>
        <w:trPr>
          <w:trHeight w:val="407" w:hRule="atLeast"/>
        </w:trPr>
        <w:tc>
          <w:tcPr>
            <w:tcW w:w="3325" w:type="dxa"/>
            <w:vMerge w:val="restart"/>
            <w:tcBorders>
              <w:top w:val="single" w:color="auto" w:sz="4" w:space="0"/>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安全防护，穿戴规范</w:t>
            </w:r>
          </w:p>
        </w:tc>
        <w:tc>
          <w:tcPr>
            <w:tcW w:w="1312" w:type="dxa"/>
            <w:vMerge w:val="restart"/>
            <w:tcBorders>
              <w:top w:val="single" w:color="auto" w:sz="4" w:space="0"/>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w:t>
            </w:r>
            <w:r>
              <w:rPr>
                <w:rFonts w:hint="eastAsia" w:ascii="仿宋_GB2312" w:hAnsi="仿宋_GB2312" w:cs="仿宋_GB2312"/>
                <w:color w:val="auto"/>
                <w:sz w:val="24"/>
                <w:szCs w:val="24"/>
                <w:lang w:val="en-US" w:eastAsia="zh-CN"/>
              </w:rPr>
              <w:t>分</w:t>
            </w:r>
          </w:p>
        </w:tc>
        <w:tc>
          <w:tcPr>
            <w:tcW w:w="5458"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cs="仿宋_GB2312"/>
                <w:color w:val="auto"/>
                <w:sz w:val="24"/>
                <w:szCs w:val="24"/>
                <w:lang w:val="en-US" w:eastAsia="zh-CN"/>
              </w:rPr>
              <w:t>是否佩</w:t>
            </w:r>
            <w:r>
              <w:rPr>
                <w:rFonts w:hint="eastAsia" w:ascii="仿宋_GB2312" w:hAnsi="仿宋_GB2312" w:eastAsia="仿宋_GB2312" w:cs="仿宋_GB2312"/>
                <w:color w:val="auto"/>
                <w:sz w:val="24"/>
                <w:szCs w:val="24"/>
              </w:rPr>
              <w:t>戴防护眼镜</w:t>
            </w:r>
          </w:p>
        </w:tc>
      </w:tr>
      <w:tr>
        <w:tblPrEx>
          <w:tblCellMar>
            <w:top w:w="0" w:type="dxa"/>
            <w:left w:w="108" w:type="dxa"/>
            <w:bottom w:w="0" w:type="dxa"/>
            <w:right w:w="108" w:type="dxa"/>
          </w:tblCellMar>
        </w:tblPrEx>
        <w:trPr>
          <w:trHeight w:val="407" w:hRule="atLeast"/>
        </w:trPr>
        <w:tc>
          <w:tcPr>
            <w:tcW w:w="3325"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1312" w:type="dxa"/>
            <w:vMerge w:val="continue"/>
            <w:tcBorders>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5458"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4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cs="仿宋_GB2312"/>
                <w:color w:val="auto"/>
                <w:sz w:val="24"/>
                <w:szCs w:val="24"/>
                <w:lang w:val="en-US" w:eastAsia="zh-CN"/>
              </w:rPr>
              <w:t>是否佩</w:t>
            </w:r>
            <w:r>
              <w:rPr>
                <w:rFonts w:hint="eastAsia" w:ascii="仿宋_GB2312" w:hAnsi="仿宋_GB2312" w:eastAsia="仿宋_GB2312" w:cs="仿宋_GB2312"/>
                <w:color w:val="auto"/>
                <w:sz w:val="24"/>
                <w:szCs w:val="24"/>
              </w:rPr>
              <w:t>戴手套</w:t>
            </w:r>
          </w:p>
        </w:tc>
      </w:tr>
      <w:tr>
        <w:tblPrEx>
          <w:tblCellMar>
            <w:top w:w="0" w:type="dxa"/>
            <w:left w:w="108" w:type="dxa"/>
            <w:bottom w:w="0" w:type="dxa"/>
            <w:right w:w="108" w:type="dxa"/>
          </w:tblCellMar>
        </w:tblPrEx>
        <w:trPr>
          <w:trHeight w:val="407" w:hRule="atLeast"/>
        </w:trPr>
        <w:tc>
          <w:tcPr>
            <w:tcW w:w="3325"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p>
        </w:tc>
        <w:tc>
          <w:tcPr>
            <w:tcW w:w="1312" w:type="dxa"/>
            <w:vMerge w:val="continue"/>
            <w:tcBorders>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p>
        </w:tc>
        <w:tc>
          <w:tcPr>
            <w:tcW w:w="5458"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4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穿防护服</w:t>
            </w:r>
          </w:p>
        </w:tc>
      </w:tr>
      <w:tr>
        <w:tblPrEx>
          <w:tblCellMar>
            <w:top w:w="0" w:type="dxa"/>
            <w:left w:w="108" w:type="dxa"/>
            <w:bottom w:w="0" w:type="dxa"/>
            <w:right w:w="108" w:type="dxa"/>
          </w:tblCellMar>
        </w:tblPrEx>
        <w:trPr>
          <w:trHeight w:val="407" w:hRule="atLeast"/>
        </w:trPr>
        <w:tc>
          <w:tcPr>
            <w:tcW w:w="3325"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p>
        </w:tc>
        <w:tc>
          <w:tcPr>
            <w:tcW w:w="1312" w:type="dxa"/>
            <w:vMerge w:val="continue"/>
            <w:tcBorders>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p>
        </w:tc>
        <w:tc>
          <w:tcPr>
            <w:tcW w:w="5458"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4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眼镜/手套/防护服穿戴</w:t>
            </w:r>
            <w:r>
              <w:rPr>
                <w:rFonts w:hint="eastAsia" w:ascii="仿宋_GB2312" w:hAnsi="仿宋_GB2312" w:cs="仿宋_GB2312"/>
                <w:color w:val="auto"/>
                <w:sz w:val="24"/>
                <w:szCs w:val="24"/>
                <w:lang w:val="en-US" w:eastAsia="zh-CN"/>
              </w:rPr>
              <w:t>是否得</w:t>
            </w:r>
            <w:r>
              <w:rPr>
                <w:rFonts w:hint="eastAsia" w:ascii="仿宋_GB2312" w:hAnsi="仿宋_GB2312" w:eastAsia="仿宋_GB2312" w:cs="仿宋_GB2312"/>
                <w:color w:val="auto"/>
                <w:sz w:val="24"/>
                <w:szCs w:val="24"/>
              </w:rPr>
              <w:t>当</w:t>
            </w:r>
          </w:p>
        </w:tc>
      </w:tr>
      <w:tr>
        <w:tblPrEx>
          <w:tblCellMar>
            <w:top w:w="0" w:type="dxa"/>
            <w:left w:w="108" w:type="dxa"/>
            <w:bottom w:w="0" w:type="dxa"/>
            <w:right w:w="108" w:type="dxa"/>
          </w:tblCellMar>
        </w:tblPrEx>
        <w:trPr>
          <w:trHeight w:val="420" w:hRule="atLeast"/>
        </w:trPr>
        <w:tc>
          <w:tcPr>
            <w:tcW w:w="33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电池筛选正确</w:t>
            </w:r>
          </w:p>
        </w:tc>
        <w:tc>
          <w:tcPr>
            <w:tcW w:w="13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r>
              <w:rPr>
                <w:rFonts w:hint="eastAsia" w:ascii="仿宋_GB2312" w:hAnsi="仿宋_GB2312" w:cs="仿宋_GB2312"/>
                <w:color w:val="auto"/>
                <w:sz w:val="24"/>
                <w:szCs w:val="24"/>
                <w:lang w:val="en-US" w:eastAsia="zh-CN"/>
              </w:rPr>
              <w:t>5分</w:t>
            </w:r>
          </w:p>
        </w:tc>
        <w:tc>
          <w:tcPr>
            <w:tcW w:w="5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正负极片识别</w:t>
            </w:r>
          </w:p>
        </w:tc>
      </w:tr>
      <w:tr>
        <w:tblPrEx>
          <w:tblCellMar>
            <w:top w:w="0" w:type="dxa"/>
            <w:left w:w="108" w:type="dxa"/>
            <w:bottom w:w="0" w:type="dxa"/>
            <w:right w:w="108" w:type="dxa"/>
          </w:tblCellMar>
        </w:tblPrEx>
        <w:trPr>
          <w:trHeight w:val="405" w:hRule="atLeast"/>
        </w:trPr>
        <w:tc>
          <w:tcPr>
            <w:tcW w:w="3325" w:type="dxa"/>
            <w:vMerge w:val="restart"/>
            <w:tcBorders>
              <w:top w:val="single" w:color="000000" w:sz="4" w:space="0"/>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残次品确认</w:t>
            </w:r>
          </w:p>
        </w:tc>
        <w:tc>
          <w:tcPr>
            <w:tcW w:w="1312" w:type="dxa"/>
            <w:vMerge w:val="restart"/>
            <w:tcBorders>
              <w:top w:val="single" w:color="000000" w:sz="4" w:space="0"/>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r>
              <w:rPr>
                <w:rFonts w:hint="eastAsia" w:ascii="仿宋_GB2312" w:hAnsi="仿宋_GB2312" w:cs="仿宋_GB2312"/>
                <w:color w:val="auto"/>
                <w:sz w:val="24"/>
                <w:szCs w:val="24"/>
                <w:lang w:val="en-US" w:eastAsia="zh-CN"/>
              </w:rPr>
              <w:t>0分</w:t>
            </w:r>
          </w:p>
        </w:tc>
        <w:tc>
          <w:tcPr>
            <w:tcW w:w="5458"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漏检残次品</w:t>
            </w:r>
          </w:p>
        </w:tc>
      </w:tr>
      <w:tr>
        <w:tblPrEx>
          <w:tblCellMar>
            <w:top w:w="0" w:type="dxa"/>
            <w:left w:w="108" w:type="dxa"/>
            <w:bottom w:w="0" w:type="dxa"/>
            <w:right w:w="108" w:type="dxa"/>
          </w:tblCellMar>
        </w:tblPrEx>
        <w:trPr>
          <w:trHeight w:val="405" w:hRule="atLeast"/>
        </w:trPr>
        <w:tc>
          <w:tcPr>
            <w:tcW w:w="3325"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1312" w:type="dxa"/>
            <w:vMerge w:val="continue"/>
            <w:tcBorders>
              <w:left w:val="single" w:color="000000" w:sz="4" w:space="0"/>
              <w:bottom w:val="single" w:color="auto"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5458"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4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误判良品为残次</w:t>
            </w:r>
          </w:p>
        </w:tc>
      </w:tr>
      <w:tr>
        <w:tblPrEx>
          <w:tblCellMar>
            <w:top w:w="0" w:type="dxa"/>
            <w:left w:w="108" w:type="dxa"/>
            <w:bottom w:w="0" w:type="dxa"/>
            <w:right w:w="108" w:type="dxa"/>
          </w:tblCellMar>
        </w:tblPrEx>
        <w:trPr>
          <w:trHeight w:val="406" w:hRule="atLeast"/>
        </w:trPr>
        <w:tc>
          <w:tcPr>
            <w:tcW w:w="3325"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正确</w:t>
            </w:r>
            <w:r>
              <w:rPr>
                <w:rFonts w:hint="eastAsia" w:ascii="仿宋_GB2312" w:hAnsi="仿宋_GB2312" w:cs="仿宋_GB2312"/>
                <w:color w:val="auto"/>
                <w:sz w:val="24"/>
                <w:szCs w:val="24"/>
                <w:lang w:val="en-US" w:eastAsia="zh-CN"/>
              </w:rPr>
              <w:t>组装</w:t>
            </w:r>
          </w:p>
        </w:tc>
        <w:tc>
          <w:tcPr>
            <w:tcW w:w="1312" w:type="dxa"/>
            <w:vMerge w:val="restart"/>
            <w:tcBorders>
              <w:top w:val="single" w:color="auto" w:sz="4" w:space="0"/>
              <w:left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40</w:t>
            </w:r>
            <w:r>
              <w:rPr>
                <w:rFonts w:hint="eastAsia" w:ascii="仿宋_GB2312" w:hAnsi="仿宋_GB2312" w:cs="仿宋_GB2312"/>
                <w:color w:val="auto"/>
                <w:sz w:val="24"/>
                <w:szCs w:val="24"/>
                <w:lang w:val="en-US" w:eastAsia="zh-CN"/>
              </w:rPr>
              <w:t>分</w:t>
            </w:r>
          </w:p>
        </w:tc>
        <w:tc>
          <w:tcPr>
            <w:tcW w:w="545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仿宋_GB2312" w:hAnsi="仿宋_GB2312" w:eastAsia="仿宋_GB2312" w:cs="仿宋_GB2312"/>
                <w:color w:val="auto"/>
                <w:sz w:val="24"/>
                <w:szCs w:val="24"/>
                <w:lang w:val="en-US"/>
              </w:rPr>
            </w:pPr>
            <w:r>
              <w:rPr>
                <w:rFonts w:hint="eastAsia" w:ascii="仿宋_GB2312" w:hAnsi="仿宋_GB2312" w:eastAsia="仿宋_GB2312" w:cs="仿宋_GB2312"/>
                <w:color w:val="auto"/>
                <w:sz w:val="24"/>
                <w:szCs w:val="24"/>
              </w:rPr>
              <w:t>电池片叠放顺序</w:t>
            </w:r>
            <w:r>
              <w:rPr>
                <w:rFonts w:hint="eastAsia" w:ascii="仿宋_GB2312" w:hAnsi="仿宋_GB2312" w:cs="仿宋_GB2312"/>
                <w:color w:val="auto"/>
                <w:sz w:val="24"/>
                <w:szCs w:val="24"/>
                <w:lang w:val="en-US" w:eastAsia="zh-CN"/>
              </w:rPr>
              <w:t>是否正确</w:t>
            </w:r>
          </w:p>
        </w:tc>
      </w:tr>
      <w:tr>
        <w:tblPrEx>
          <w:tblCellMar>
            <w:top w:w="0" w:type="dxa"/>
            <w:left w:w="108" w:type="dxa"/>
            <w:bottom w:w="0" w:type="dxa"/>
            <w:right w:w="108" w:type="dxa"/>
          </w:tblCellMar>
        </w:tblPrEx>
        <w:trPr>
          <w:trHeight w:val="406" w:hRule="atLeast"/>
        </w:trPr>
        <w:tc>
          <w:tcPr>
            <w:tcW w:w="3325"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1312" w:type="dxa"/>
            <w:vMerge w:val="continue"/>
            <w:tcBorders>
              <w:left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545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4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电池片叠放</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整齐</w:t>
            </w:r>
          </w:p>
        </w:tc>
      </w:tr>
      <w:tr>
        <w:tblPrEx>
          <w:tblCellMar>
            <w:top w:w="0" w:type="dxa"/>
            <w:left w:w="108" w:type="dxa"/>
            <w:bottom w:w="0" w:type="dxa"/>
            <w:right w:w="108" w:type="dxa"/>
          </w:tblCellMar>
        </w:tblPrEx>
        <w:trPr>
          <w:trHeight w:val="406" w:hRule="atLeast"/>
        </w:trPr>
        <w:tc>
          <w:tcPr>
            <w:tcW w:w="3325" w:type="dxa"/>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p>
        </w:tc>
        <w:tc>
          <w:tcPr>
            <w:tcW w:w="1312" w:type="dxa"/>
            <w:vMerge w:val="continue"/>
            <w:tcBorders>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p>
        </w:tc>
        <w:tc>
          <w:tcPr>
            <w:tcW w:w="545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400" w:lineRule="exac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电池片</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造成损伤</w:t>
            </w:r>
          </w:p>
        </w:tc>
      </w:tr>
      <w:tr>
        <w:tblPrEx>
          <w:tblCellMar>
            <w:top w:w="0" w:type="dxa"/>
            <w:left w:w="108" w:type="dxa"/>
            <w:bottom w:w="0" w:type="dxa"/>
            <w:right w:w="108" w:type="dxa"/>
          </w:tblCellMar>
        </w:tblPrEx>
        <w:trPr>
          <w:trHeight w:val="420" w:hRule="atLeast"/>
        </w:trPr>
        <w:tc>
          <w:tcPr>
            <w:tcW w:w="33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合计</w:t>
            </w:r>
          </w:p>
        </w:tc>
        <w:tc>
          <w:tcPr>
            <w:tcW w:w="6770"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spacing w:line="400" w:lineRule="exac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100分</w:t>
            </w:r>
          </w:p>
        </w:tc>
      </w:tr>
    </w:tbl>
    <w:p>
      <w:pPr>
        <w:keepNext w:val="0"/>
        <w:keepLines w:val="0"/>
        <w:pageBreakBefore w:val="0"/>
        <w:kinsoku/>
        <w:wordWrap/>
        <w:overflowPunct/>
        <w:topLinePunct w:val="0"/>
        <w:autoSpaceDE/>
        <w:autoSpaceDN/>
        <w:bidi w:val="0"/>
        <w:spacing w:line="580" w:lineRule="exact"/>
        <w:rPr>
          <w:color w:val="auto"/>
        </w:rPr>
      </w:pPr>
    </w:p>
    <w:tbl>
      <w:tblPr>
        <w:tblStyle w:val="8"/>
        <w:tblW w:w="10125" w:type="dxa"/>
        <w:tblInd w:w="-794" w:type="dxa"/>
        <w:tblLayout w:type="fixed"/>
        <w:tblCellMar>
          <w:top w:w="0" w:type="dxa"/>
          <w:left w:w="108" w:type="dxa"/>
          <w:bottom w:w="0" w:type="dxa"/>
          <w:right w:w="108" w:type="dxa"/>
        </w:tblCellMar>
      </w:tblPr>
      <w:tblGrid>
        <w:gridCol w:w="3340"/>
        <w:gridCol w:w="1293"/>
        <w:gridCol w:w="5492"/>
      </w:tblGrid>
      <w:tr>
        <w:tblPrEx>
          <w:tblCellMar>
            <w:top w:w="0" w:type="dxa"/>
            <w:left w:w="108" w:type="dxa"/>
            <w:bottom w:w="0" w:type="dxa"/>
            <w:right w:w="108" w:type="dxa"/>
          </w:tblCellMar>
        </w:tblPrEx>
        <w:trPr>
          <w:trHeight w:val="397" w:hRule="atLeast"/>
        </w:trPr>
        <w:tc>
          <w:tcPr>
            <w:tcW w:w="1012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模块C：电池</w:t>
            </w:r>
            <w:r>
              <w:rPr>
                <w:rFonts w:hint="eastAsia" w:ascii="仿宋_GB2312" w:hAnsi="仿宋_GB2312" w:cs="仿宋_GB2312"/>
                <w:b/>
                <w:bCs/>
                <w:color w:val="auto"/>
                <w:sz w:val="24"/>
                <w:szCs w:val="24"/>
                <w:lang w:eastAsia="zh-CN"/>
              </w:rPr>
              <w:t>系统</w:t>
            </w:r>
            <w:r>
              <w:rPr>
                <w:rFonts w:hint="eastAsia" w:ascii="仿宋_GB2312" w:hAnsi="仿宋_GB2312" w:eastAsia="仿宋_GB2312" w:cs="仿宋_GB2312"/>
                <w:b/>
                <w:bCs/>
                <w:color w:val="auto"/>
                <w:sz w:val="24"/>
                <w:szCs w:val="24"/>
              </w:rPr>
              <w:t>组装</w:t>
            </w:r>
          </w:p>
        </w:tc>
      </w:tr>
      <w:tr>
        <w:tblPrEx>
          <w:tblCellMar>
            <w:top w:w="0" w:type="dxa"/>
            <w:left w:w="108" w:type="dxa"/>
            <w:bottom w:w="0" w:type="dxa"/>
            <w:right w:w="108" w:type="dxa"/>
          </w:tblCellMar>
        </w:tblPrEx>
        <w:trPr>
          <w:trHeight w:val="397" w:hRule="atLeast"/>
        </w:trPr>
        <w:tc>
          <w:tcPr>
            <w:tcW w:w="33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仿宋_GB2312" w:hAnsi="仿宋_GB2312" w:eastAsia="仿宋_GB2312" w:cs="仿宋_GB2312"/>
                <w:b w:val="0"/>
                <w:bCs w:val="0"/>
                <w:color w:val="auto"/>
                <w:sz w:val="24"/>
                <w:szCs w:val="24"/>
                <w:lang w:val="en-US" w:eastAsia="zh-CN"/>
              </w:rPr>
            </w:pPr>
            <w:r>
              <w:rPr>
                <w:rFonts w:hint="eastAsia" w:ascii="仿宋_GB2312" w:hAnsi="仿宋_GB2312" w:cs="仿宋_GB2312"/>
                <w:b w:val="0"/>
                <w:bCs w:val="0"/>
                <w:color w:val="auto"/>
                <w:sz w:val="24"/>
                <w:szCs w:val="24"/>
                <w:lang w:val="en-US" w:eastAsia="zh-CN"/>
              </w:rPr>
              <w:t>评价内容</w:t>
            </w:r>
          </w:p>
        </w:tc>
        <w:tc>
          <w:tcPr>
            <w:tcW w:w="12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b w:val="0"/>
                <w:bCs w:val="0"/>
                <w:color w:val="auto"/>
                <w:sz w:val="24"/>
                <w:szCs w:val="24"/>
                <w:lang w:eastAsia="zh-CN"/>
              </w:rPr>
            </w:pPr>
            <w:r>
              <w:rPr>
                <w:rFonts w:hint="eastAsia" w:ascii="仿宋_GB2312" w:hAnsi="仿宋_GB2312" w:cs="仿宋_GB2312"/>
                <w:b w:val="0"/>
                <w:bCs w:val="0"/>
                <w:color w:val="auto"/>
                <w:sz w:val="24"/>
                <w:szCs w:val="24"/>
                <w:lang w:val="en-US" w:eastAsia="zh-CN"/>
              </w:rPr>
              <w:t>配分</w:t>
            </w:r>
          </w:p>
        </w:tc>
        <w:tc>
          <w:tcPr>
            <w:tcW w:w="549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仿宋_GB2312" w:hAnsi="仿宋_GB2312" w:cs="仿宋_GB2312"/>
                <w:b w:val="0"/>
                <w:bCs w:val="0"/>
                <w:color w:val="auto"/>
                <w:sz w:val="24"/>
                <w:szCs w:val="24"/>
                <w:lang w:val="en-US" w:eastAsia="zh-CN"/>
              </w:rPr>
            </w:pPr>
            <w:r>
              <w:rPr>
                <w:rFonts w:hint="eastAsia" w:ascii="仿宋_GB2312" w:hAnsi="仿宋_GB2312" w:cs="仿宋_GB2312"/>
                <w:b w:val="0"/>
                <w:bCs w:val="0"/>
                <w:color w:val="auto"/>
                <w:sz w:val="24"/>
                <w:szCs w:val="24"/>
                <w:lang w:val="en-US" w:eastAsia="zh-CN"/>
              </w:rPr>
              <w:t>具体内容</w:t>
            </w:r>
          </w:p>
        </w:tc>
      </w:tr>
      <w:tr>
        <w:tblPrEx>
          <w:tblCellMar>
            <w:top w:w="0" w:type="dxa"/>
            <w:left w:w="108" w:type="dxa"/>
            <w:bottom w:w="0" w:type="dxa"/>
            <w:right w:w="108" w:type="dxa"/>
          </w:tblCellMar>
        </w:tblPrEx>
        <w:trPr>
          <w:trHeight w:val="386" w:hRule="atLeast"/>
        </w:trPr>
        <w:tc>
          <w:tcPr>
            <w:tcW w:w="3340" w:type="dxa"/>
            <w:vMerge w:val="restart"/>
            <w:tcBorders>
              <w:top w:val="single" w:color="auto" w:sz="4" w:space="0"/>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电池组装检查</w:t>
            </w:r>
          </w:p>
        </w:tc>
        <w:tc>
          <w:tcPr>
            <w:tcW w:w="1293" w:type="dxa"/>
            <w:vMerge w:val="restart"/>
            <w:tcBorders>
              <w:top w:val="single" w:color="auto" w:sz="4" w:space="0"/>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5分</w:t>
            </w:r>
          </w:p>
        </w:tc>
        <w:tc>
          <w:tcPr>
            <w:tcW w:w="5492"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漏装部件</w:t>
            </w:r>
          </w:p>
        </w:tc>
      </w:tr>
      <w:tr>
        <w:tblPrEx>
          <w:tblCellMar>
            <w:top w:w="0" w:type="dxa"/>
            <w:left w:w="108" w:type="dxa"/>
            <w:bottom w:w="0" w:type="dxa"/>
            <w:right w:w="108" w:type="dxa"/>
          </w:tblCellMar>
        </w:tblPrEx>
        <w:trPr>
          <w:trHeight w:val="386" w:hRule="atLeast"/>
        </w:trPr>
        <w:tc>
          <w:tcPr>
            <w:tcW w:w="3340"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1293" w:type="dxa"/>
            <w:vMerge w:val="continue"/>
            <w:tcBorders>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5492"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400" w:lineRule="exact"/>
              <w:jc w:val="center"/>
              <w:textAlignment w:val="center"/>
              <w:rPr>
                <w:rFonts w:hint="eastAsia" w:ascii="仿宋_GB2312" w:hAnsi="仿宋_GB2312" w:cs="仿宋_GB2312"/>
                <w:color w:val="auto"/>
                <w:sz w:val="24"/>
                <w:szCs w:val="24"/>
                <w:lang w:val="en-US" w:eastAsia="zh-CN"/>
              </w:rPr>
            </w:pPr>
            <w:r>
              <w:rPr>
                <w:rFonts w:hint="eastAsia" w:ascii="仿宋_GB2312" w:hAnsi="仿宋_GB2312" w:eastAsia="仿宋_GB2312" w:cs="仿宋_GB2312"/>
                <w:color w:val="auto"/>
                <w:sz w:val="24"/>
                <w:szCs w:val="24"/>
              </w:rPr>
              <w:t>螺丝</w:t>
            </w:r>
            <w:r>
              <w:rPr>
                <w:rFonts w:hint="eastAsia" w:ascii="仿宋_GB2312" w:hAnsi="仿宋_GB2312" w:cs="仿宋_GB2312"/>
                <w:color w:val="auto"/>
                <w:sz w:val="24"/>
                <w:szCs w:val="24"/>
                <w:lang w:val="en-US" w:eastAsia="zh-CN"/>
              </w:rPr>
              <w:t>是否有</w:t>
            </w:r>
            <w:r>
              <w:rPr>
                <w:rFonts w:hint="eastAsia" w:ascii="仿宋_GB2312" w:hAnsi="仿宋_GB2312" w:eastAsia="仿宋_GB2312" w:cs="仿宋_GB2312"/>
                <w:color w:val="auto"/>
                <w:sz w:val="24"/>
                <w:szCs w:val="24"/>
              </w:rPr>
              <w:t>松动</w:t>
            </w:r>
          </w:p>
        </w:tc>
      </w:tr>
      <w:tr>
        <w:tblPrEx>
          <w:tblCellMar>
            <w:top w:w="0" w:type="dxa"/>
            <w:left w:w="108" w:type="dxa"/>
            <w:bottom w:w="0" w:type="dxa"/>
            <w:right w:w="108" w:type="dxa"/>
          </w:tblCellMar>
        </w:tblPrEx>
        <w:trPr>
          <w:trHeight w:val="386" w:hRule="atLeast"/>
        </w:trPr>
        <w:tc>
          <w:tcPr>
            <w:tcW w:w="3340"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p>
        </w:tc>
        <w:tc>
          <w:tcPr>
            <w:tcW w:w="1293" w:type="dxa"/>
            <w:vMerge w:val="continue"/>
            <w:tcBorders>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p>
        </w:tc>
        <w:tc>
          <w:tcPr>
            <w:tcW w:w="5492" w:type="dxa"/>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400" w:lineRule="exact"/>
              <w:jc w:val="center"/>
              <w:textAlignment w:val="center"/>
              <w:rPr>
                <w:rFonts w:hint="eastAsia" w:ascii="仿宋_GB2312" w:hAnsi="仿宋_GB2312" w:cs="仿宋_GB2312"/>
                <w:color w:val="auto"/>
                <w:sz w:val="24"/>
                <w:szCs w:val="24"/>
                <w:lang w:val="en-US" w:eastAsia="zh-CN"/>
              </w:rPr>
            </w:pPr>
            <w:r>
              <w:rPr>
                <w:rFonts w:hint="eastAsia" w:ascii="仿宋_GB2312" w:hAnsi="仿宋_GB2312" w:eastAsia="仿宋_GB2312" w:cs="仿宋_GB2312"/>
                <w:color w:val="auto"/>
                <w:sz w:val="24"/>
                <w:szCs w:val="24"/>
              </w:rPr>
              <w:t>螺丝</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拧紧</w:t>
            </w:r>
          </w:p>
        </w:tc>
      </w:tr>
      <w:tr>
        <w:tblPrEx>
          <w:tblCellMar>
            <w:top w:w="0" w:type="dxa"/>
            <w:left w:w="108" w:type="dxa"/>
            <w:bottom w:w="0" w:type="dxa"/>
            <w:right w:w="108" w:type="dxa"/>
          </w:tblCellMar>
        </w:tblPrEx>
        <w:trPr>
          <w:trHeight w:val="385" w:hRule="atLeast"/>
        </w:trPr>
        <w:tc>
          <w:tcPr>
            <w:tcW w:w="3340" w:type="dxa"/>
            <w:vMerge w:val="restart"/>
            <w:tcBorders>
              <w:top w:val="single" w:color="000000" w:sz="4" w:space="0"/>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电池电压测试选品</w:t>
            </w:r>
          </w:p>
        </w:tc>
        <w:tc>
          <w:tcPr>
            <w:tcW w:w="1293" w:type="dxa"/>
            <w:vMerge w:val="restart"/>
            <w:tcBorders>
              <w:top w:val="single" w:color="000000" w:sz="4" w:space="0"/>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10分</w:t>
            </w:r>
          </w:p>
        </w:tc>
        <w:tc>
          <w:tcPr>
            <w:tcW w:w="549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仿宋_GB2312" w:hAnsi="仿宋_GB2312" w:cs="仿宋_GB2312"/>
                <w:color w:val="auto"/>
                <w:sz w:val="24"/>
                <w:szCs w:val="24"/>
                <w:lang w:val="en-US" w:eastAsia="zh-CN"/>
              </w:rPr>
            </w:pPr>
            <w:r>
              <w:rPr>
                <w:rFonts w:hint="eastAsia" w:ascii="仿宋_GB2312" w:hAnsi="仿宋_GB2312" w:eastAsia="仿宋_GB2312" w:cs="仿宋_GB2312"/>
                <w:color w:val="auto"/>
                <w:sz w:val="24"/>
                <w:szCs w:val="24"/>
              </w:rPr>
              <w:t>电压读数</w:t>
            </w:r>
            <w:r>
              <w:rPr>
                <w:rFonts w:hint="eastAsia" w:ascii="仿宋_GB2312" w:hAnsi="仿宋_GB2312" w:cs="仿宋_GB2312"/>
                <w:color w:val="auto"/>
                <w:sz w:val="24"/>
                <w:szCs w:val="24"/>
                <w:lang w:val="en-US" w:eastAsia="zh-CN"/>
              </w:rPr>
              <w:t>是否正确</w:t>
            </w:r>
          </w:p>
        </w:tc>
      </w:tr>
      <w:tr>
        <w:tblPrEx>
          <w:tblCellMar>
            <w:top w:w="0" w:type="dxa"/>
            <w:left w:w="108" w:type="dxa"/>
            <w:bottom w:w="0" w:type="dxa"/>
            <w:right w:w="108" w:type="dxa"/>
          </w:tblCellMar>
        </w:tblPrEx>
        <w:trPr>
          <w:trHeight w:val="385" w:hRule="atLeast"/>
        </w:trPr>
        <w:tc>
          <w:tcPr>
            <w:tcW w:w="3340"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1293" w:type="dxa"/>
            <w:vMerge w:val="continue"/>
            <w:tcBorders>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549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r>
              <w:rPr>
                <w:rFonts w:hint="eastAsia" w:ascii="仿宋_GB2312" w:hAnsi="仿宋_GB2312" w:eastAsia="仿宋_GB2312" w:cs="仿宋_GB2312"/>
                <w:color w:val="auto"/>
                <w:sz w:val="24"/>
                <w:szCs w:val="24"/>
              </w:rPr>
              <w:t>选品时</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按电压分级</w:t>
            </w:r>
          </w:p>
        </w:tc>
      </w:tr>
      <w:tr>
        <w:tblPrEx>
          <w:tblCellMar>
            <w:top w:w="0" w:type="dxa"/>
            <w:left w:w="108" w:type="dxa"/>
            <w:bottom w:w="0" w:type="dxa"/>
            <w:right w:w="108" w:type="dxa"/>
          </w:tblCellMar>
        </w:tblPrEx>
        <w:trPr>
          <w:trHeight w:val="397" w:hRule="atLeast"/>
        </w:trPr>
        <w:tc>
          <w:tcPr>
            <w:tcW w:w="33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eastAsia="zh-CN"/>
              </w:rPr>
            </w:pPr>
            <w:r>
              <w:rPr>
                <w:rFonts w:hint="eastAsia" w:ascii="仿宋_GB2312" w:hAnsi="仿宋_GB2312" w:eastAsia="仿宋_GB2312" w:cs="仿宋_GB2312"/>
                <w:color w:val="auto"/>
                <w:sz w:val="24"/>
                <w:szCs w:val="24"/>
              </w:rPr>
              <w:t>功能验证工具</w:t>
            </w:r>
            <w:r>
              <w:rPr>
                <w:rFonts w:hint="eastAsia" w:ascii="仿宋_GB2312" w:hAnsi="仿宋_GB2312" w:cs="仿宋_GB2312"/>
                <w:color w:val="auto"/>
                <w:sz w:val="24"/>
                <w:szCs w:val="24"/>
                <w:lang w:eastAsia="zh-CN"/>
              </w:rPr>
              <w:t>选择</w:t>
            </w:r>
          </w:p>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lang w:eastAsia="zh-CN"/>
              </w:rPr>
            </w:pP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lang w:val="en-US" w:eastAsia="zh-CN"/>
              </w:rPr>
              <w:t>电压、绝缘</w:t>
            </w:r>
            <w:r>
              <w:rPr>
                <w:rFonts w:hint="eastAsia" w:ascii="仿宋_GB2312" w:hAnsi="仿宋_GB2312" w:cs="仿宋_GB2312"/>
                <w:color w:val="auto"/>
                <w:sz w:val="24"/>
                <w:szCs w:val="24"/>
                <w:lang w:eastAsia="zh-CN"/>
              </w:rPr>
              <w:t>）</w:t>
            </w:r>
          </w:p>
        </w:tc>
        <w:tc>
          <w:tcPr>
            <w:tcW w:w="12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10分</w:t>
            </w:r>
          </w:p>
        </w:tc>
        <w:tc>
          <w:tcPr>
            <w:tcW w:w="549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使用适合的工具</w:t>
            </w:r>
          </w:p>
        </w:tc>
      </w:tr>
      <w:tr>
        <w:tblPrEx>
          <w:tblCellMar>
            <w:top w:w="0" w:type="dxa"/>
            <w:left w:w="108" w:type="dxa"/>
            <w:bottom w:w="0" w:type="dxa"/>
            <w:right w:w="108" w:type="dxa"/>
          </w:tblCellMar>
        </w:tblPrEx>
        <w:trPr>
          <w:trHeight w:val="388" w:hRule="atLeast"/>
        </w:trPr>
        <w:tc>
          <w:tcPr>
            <w:tcW w:w="3340" w:type="dxa"/>
            <w:vMerge w:val="restart"/>
            <w:tcBorders>
              <w:top w:val="single" w:color="000000" w:sz="4" w:space="0"/>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组件选择</w:t>
            </w:r>
          </w:p>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（必选BMS、绝缘带、排线等）</w:t>
            </w:r>
          </w:p>
        </w:tc>
        <w:tc>
          <w:tcPr>
            <w:tcW w:w="1293" w:type="dxa"/>
            <w:vMerge w:val="restart"/>
            <w:tcBorders>
              <w:top w:val="single" w:color="000000" w:sz="4" w:space="0"/>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50分</w:t>
            </w:r>
          </w:p>
        </w:tc>
        <w:tc>
          <w:tcPr>
            <w:tcW w:w="549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缺少BMS</w:t>
            </w:r>
          </w:p>
        </w:tc>
      </w:tr>
      <w:tr>
        <w:tblPrEx>
          <w:tblCellMar>
            <w:top w:w="0" w:type="dxa"/>
            <w:left w:w="108" w:type="dxa"/>
            <w:bottom w:w="0" w:type="dxa"/>
            <w:right w:w="108" w:type="dxa"/>
          </w:tblCellMar>
        </w:tblPrEx>
        <w:trPr>
          <w:trHeight w:val="388" w:hRule="atLeast"/>
        </w:trPr>
        <w:tc>
          <w:tcPr>
            <w:tcW w:w="3340"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1293" w:type="dxa"/>
            <w:vMerge w:val="continue"/>
            <w:tcBorders>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549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缺少绝缘带</w:t>
            </w:r>
          </w:p>
        </w:tc>
      </w:tr>
      <w:tr>
        <w:tblPrEx>
          <w:tblCellMar>
            <w:top w:w="0" w:type="dxa"/>
            <w:left w:w="108" w:type="dxa"/>
            <w:bottom w:w="0" w:type="dxa"/>
            <w:right w:w="108" w:type="dxa"/>
          </w:tblCellMar>
        </w:tblPrEx>
        <w:trPr>
          <w:trHeight w:val="388" w:hRule="atLeast"/>
        </w:trPr>
        <w:tc>
          <w:tcPr>
            <w:tcW w:w="3340"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p>
        </w:tc>
        <w:tc>
          <w:tcPr>
            <w:tcW w:w="1293" w:type="dxa"/>
            <w:vMerge w:val="continue"/>
            <w:tcBorders>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p>
        </w:tc>
        <w:tc>
          <w:tcPr>
            <w:tcW w:w="549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缺少排线</w:t>
            </w:r>
          </w:p>
        </w:tc>
      </w:tr>
      <w:tr>
        <w:tblPrEx>
          <w:tblCellMar>
            <w:top w:w="0" w:type="dxa"/>
            <w:left w:w="108" w:type="dxa"/>
            <w:bottom w:w="0" w:type="dxa"/>
            <w:right w:w="108" w:type="dxa"/>
          </w:tblCellMar>
        </w:tblPrEx>
        <w:trPr>
          <w:trHeight w:val="388" w:hRule="atLeast"/>
        </w:trPr>
        <w:tc>
          <w:tcPr>
            <w:tcW w:w="3340" w:type="dxa"/>
            <w:vMerge w:val="continue"/>
            <w:tcBorders>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p>
        </w:tc>
        <w:tc>
          <w:tcPr>
            <w:tcW w:w="1293" w:type="dxa"/>
            <w:vMerge w:val="continue"/>
            <w:tcBorders>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p>
        </w:tc>
        <w:tc>
          <w:tcPr>
            <w:tcW w:w="549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选用不兼容组件</w:t>
            </w:r>
          </w:p>
        </w:tc>
      </w:tr>
      <w:tr>
        <w:tblPrEx>
          <w:tblCellMar>
            <w:top w:w="0" w:type="dxa"/>
            <w:left w:w="108" w:type="dxa"/>
            <w:bottom w:w="0" w:type="dxa"/>
            <w:right w:w="108" w:type="dxa"/>
          </w:tblCellMar>
        </w:tblPrEx>
        <w:trPr>
          <w:trHeight w:val="388" w:hRule="atLeast"/>
        </w:trPr>
        <w:tc>
          <w:tcPr>
            <w:tcW w:w="3340"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p>
        </w:tc>
        <w:tc>
          <w:tcPr>
            <w:tcW w:w="1293" w:type="dxa"/>
            <w:vMerge w:val="continue"/>
            <w:tcBorders>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p>
        </w:tc>
        <w:tc>
          <w:tcPr>
            <w:tcW w:w="549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使用损坏组件</w:t>
            </w:r>
          </w:p>
        </w:tc>
      </w:tr>
      <w:tr>
        <w:tblPrEx>
          <w:tblCellMar>
            <w:top w:w="0" w:type="dxa"/>
            <w:left w:w="108" w:type="dxa"/>
            <w:bottom w:w="0" w:type="dxa"/>
            <w:right w:w="108" w:type="dxa"/>
          </w:tblCellMar>
        </w:tblPrEx>
        <w:trPr>
          <w:trHeight w:val="397" w:hRule="atLeast"/>
        </w:trPr>
        <w:tc>
          <w:tcPr>
            <w:tcW w:w="33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安装组件</w:t>
            </w:r>
          </w:p>
        </w:tc>
        <w:tc>
          <w:tcPr>
            <w:tcW w:w="12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10</w:t>
            </w:r>
            <w:r>
              <w:rPr>
                <w:rFonts w:hint="eastAsia" w:ascii="仿宋_GB2312" w:hAnsi="仿宋_GB2312" w:cs="仿宋_GB2312"/>
                <w:color w:val="auto"/>
                <w:sz w:val="24"/>
                <w:szCs w:val="24"/>
                <w:lang w:val="en-US" w:eastAsia="zh-CN"/>
              </w:rPr>
              <w:t>分</w:t>
            </w:r>
          </w:p>
        </w:tc>
        <w:tc>
          <w:tcPr>
            <w:tcW w:w="549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按规程操作</w:t>
            </w:r>
          </w:p>
        </w:tc>
      </w:tr>
      <w:tr>
        <w:tblPrEx>
          <w:tblCellMar>
            <w:top w:w="0" w:type="dxa"/>
            <w:left w:w="108" w:type="dxa"/>
            <w:bottom w:w="0" w:type="dxa"/>
            <w:right w:w="108" w:type="dxa"/>
          </w:tblCellMar>
        </w:tblPrEx>
        <w:trPr>
          <w:trHeight w:val="397" w:hRule="atLeast"/>
        </w:trPr>
        <w:tc>
          <w:tcPr>
            <w:tcW w:w="33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正常通讯</w:t>
            </w:r>
          </w:p>
        </w:tc>
        <w:tc>
          <w:tcPr>
            <w:tcW w:w="12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10分</w:t>
            </w:r>
          </w:p>
        </w:tc>
        <w:tc>
          <w:tcPr>
            <w:tcW w:w="549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使用不适合的工具</w:t>
            </w:r>
          </w:p>
        </w:tc>
      </w:tr>
      <w:tr>
        <w:tblPrEx>
          <w:tblCellMar>
            <w:top w:w="0" w:type="dxa"/>
            <w:left w:w="108" w:type="dxa"/>
            <w:bottom w:w="0" w:type="dxa"/>
            <w:right w:w="108" w:type="dxa"/>
          </w:tblCellMar>
        </w:tblPrEx>
        <w:trPr>
          <w:trHeight w:val="385" w:hRule="atLeast"/>
        </w:trPr>
        <w:tc>
          <w:tcPr>
            <w:tcW w:w="3340" w:type="dxa"/>
            <w:vMerge w:val="restart"/>
            <w:tcBorders>
              <w:top w:val="single" w:color="000000" w:sz="4" w:space="0"/>
              <w:left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组件复位</w:t>
            </w:r>
          </w:p>
        </w:tc>
        <w:tc>
          <w:tcPr>
            <w:tcW w:w="1293" w:type="dxa"/>
            <w:vMerge w:val="restart"/>
            <w:tcBorders>
              <w:top w:val="single" w:color="000000" w:sz="4" w:space="0"/>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5分</w:t>
            </w:r>
          </w:p>
        </w:tc>
        <w:tc>
          <w:tcPr>
            <w:tcW w:w="549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r>
              <w:rPr>
                <w:rFonts w:hint="eastAsia" w:ascii="仿宋_GB2312" w:hAnsi="仿宋_GB2312" w:eastAsia="仿宋_GB2312" w:cs="仿宋_GB2312"/>
                <w:color w:val="auto"/>
                <w:sz w:val="24"/>
                <w:szCs w:val="24"/>
              </w:rPr>
              <w:t>电池、组件、设备、物料</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乱放</w:t>
            </w:r>
          </w:p>
        </w:tc>
      </w:tr>
      <w:tr>
        <w:tblPrEx>
          <w:tblCellMar>
            <w:top w:w="0" w:type="dxa"/>
            <w:left w:w="108" w:type="dxa"/>
            <w:bottom w:w="0" w:type="dxa"/>
            <w:right w:w="108" w:type="dxa"/>
          </w:tblCellMar>
        </w:tblPrEx>
        <w:trPr>
          <w:trHeight w:val="385" w:hRule="atLeast"/>
        </w:trPr>
        <w:tc>
          <w:tcPr>
            <w:tcW w:w="3340" w:type="dxa"/>
            <w:vMerge w:val="continue"/>
            <w:tcBorders>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1293" w:type="dxa"/>
            <w:vMerge w:val="continue"/>
            <w:tcBorders>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color w:val="auto"/>
              </w:rPr>
            </w:pPr>
          </w:p>
        </w:tc>
        <w:tc>
          <w:tcPr>
            <w:tcW w:w="549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cs="仿宋_GB2312"/>
                <w:color w:val="auto"/>
                <w:sz w:val="24"/>
                <w:szCs w:val="24"/>
                <w:lang w:val="en-US" w:eastAsia="zh-CN"/>
              </w:rPr>
            </w:pPr>
            <w:r>
              <w:rPr>
                <w:rFonts w:hint="eastAsia" w:ascii="仿宋_GB2312" w:hAnsi="仿宋_GB2312" w:eastAsia="仿宋_GB2312" w:cs="仿宋_GB2312"/>
                <w:color w:val="auto"/>
                <w:sz w:val="24"/>
                <w:szCs w:val="24"/>
              </w:rPr>
              <w:t>工作区</w:t>
            </w:r>
            <w:r>
              <w:rPr>
                <w:rFonts w:hint="eastAsia" w:ascii="仿宋_GB2312" w:hAnsi="仿宋_GB2312" w:cs="仿宋_GB2312"/>
                <w:color w:val="auto"/>
                <w:sz w:val="24"/>
                <w:szCs w:val="24"/>
                <w:lang w:val="en-US" w:eastAsia="zh-CN"/>
              </w:rPr>
              <w:t>是否</w:t>
            </w:r>
            <w:r>
              <w:rPr>
                <w:rFonts w:hint="eastAsia" w:ascii="仿宋_GB2312" w:hAnsi="仿宋_GB2312" w:eastAsia="仿宋_GB2312" w:cs="仿宋_GB2312"/>
                <w:color w:val="auto"/>
                <w:sz w:val="24"/>
                <w:szCs w:val="24"/>
              </w:rPr>
              <w:t>清理</w:t>
            </w:r>
          </w:p>
        </w:tc>
      </w:tr>
      <w:tr>
        <w:tblPrEx>
          <w:tblCellMar>
            <w:top w:w="0" w:type="dxa"/>
            <w:left w:w="108" w:type="dxa"/>
            <w:bottom w:w="0" w:type="dxa"/>
            <w:right w:w="108" w:type="dxa"/>
          </w:tblCellMar>
        </w:tblPrEx>
        <w:trPr>
          <w:trHeight w:val="397" w:hRule="atLeast"/>
        </w:trPr>
        <w:tc>
          <w:tcPr>
            <w:tcW w:w="33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合计</w:t>
            </w:r>
          </w:p>
        </w:tc>
        <w:tc>
          <w:tcPr>
            <w:tcW w:w="6785"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val="0"/>
              <w:snapToGrid w:val="0"/>
              <w:spacing w:line="400" w:lineRule="exact"/>
              <w:jc w:val="center"/>
              <w:rPr>
                <w:rFonts w:hint="eastAsia" w:ascii="仿宋_GB2312" w:hAnsi="仿宋_GB2312" w:eastAsia="仿宋_GB2312" w:cs="仿宋_GB2312"/>
                <w:color w:val="auto"/>
                <w:sz w:val="24"/>
                <w:szCs w:val="24"/>
              </w:rPr>
            </w:pPr>
            <w:r>
              <w:rPr>
                <w:rFonts w:hint="eastAsia" w:ascii="仿宋_GB2312" w:hAnsi="仿宋_GB2312" w:cs="仿宋_GB2312"/>
                <w:color w:val="auto"/>
                <w:sz w:val="24"/>
                <w:szCs w:val="24"/>
                <w:lang w:val="en-US" w:eastAsia="zh-CN"/>
              </w:rPr>
              <w:t>100分</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评判方法：初赛成绩由计算机系统自动判分，选手初赛成绩以得分高低排名</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取成绩前60名选手进入决赛。决赛由现场裁判组依据参赛选手的实际操作情况按竞赛评分表集体评判、计分</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裁判组对最终成绩签字确认。裁判长对所有裁判员打分过程的公平、公正性进行监督。裁判员执裁期间若有争议，由裁判长裁决。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成绩并列：参赛选手最终名次依据初赛和决赛两部分成绩按比例累加的综合成绩进行排名，成绩均四舍五入保留两位小数点。其中初赛成绩占30%、决赛成绩占70%，参赛选手赛后综合成绩=初赛成绩×30%+决赛成绩×70%。当综合成绩相同时，以决赛成绩高者名次在前，若仍相同时，则以决赛模块A、模块B顺序的分数高低决定排名，仍相同时，则以决赛用时短者名次在前。</w:t>
      </w:r>
      <w:r>
        <w:rPr>
          <w:rFonts w:hint="eastAsia" w:ascii="仿宋_GB2312" w:hAnsi="仿宋_GB2312" w:cs="仿宋_GB2312"/>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三、竞赛细则</w:t>
      </w:r>
    </w:p>
    <w:p>
      <w:pPr>
        <w:keepNext w:val="0"/>
        <w:keepLines w:val="0"/>
        <w:pageBreakBefore w:val="0"/>
        <w:numPr>
          <w:ilvl w:val="0"/>
          <w:numId w:val="0"/>
        </w:numPr>
        <w:kinsoku/>
        <w:wordWrap/>
        <w:overflowPunct/>
        <w:topLinePunct w:val="0"/>
        <w:autoSpaceDE/>
        <w:autoSpaceDN/>
        <w:bidi w:val="0"/>
        <w:spacing w:line="580" w:lineRule="exact"/>
        <w:ind w:firstLine="642" w:firstLineChars="200"/>
        <w:rPr>
          <w:rFonts w:hint="default" w:ascii="Times New Roman" w:hAnsi="Times New Roman" w:eastAsia="楷体_GB2312" w:cs="Times New Roman"/>
          <w:b/>
          <w:bCs/>
          <w:color w:val="auto"/>
          <w:sz w:val="32"/>
          <w:szCs w:val="32"/>
          <w:highlight w:val="none"/>
          <w:lang w:val="en-US" w:eastAsia="zh-CN"/>
        </w:rPr>
      </w:pPr>
      <w:bookmarkStart w:id="0" w:name="_Toc18285"/>
      <w:bookmarkStart w:id="1" w:name="_Toc10329"/>
      <w:r>
        <w:rPr>
          <w:rFonts w:hint="default" w:ascii="Times New Roman" w:hAnsi="Times New Roman" w:eastAsia="楷体_GB2312" w:cs="Times New Roman"/>
          <w:b/>
          <w:bCs/>
          <w:color w:val="auto"/>
          <w:sz w:val="32"/>
          <w:szCs w:val="32"/>
          <w:highlight w:val="none"/>
          <w:lang w:val="en" w:eastAsia="zh-CN"/>
        </w:rPr>
        <w:t>（一）竞赛守则</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1.参赛证于竞赛报到时凭有效身份证领取。</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2.各类人员须统一佩戴由执委会印制的证件，着装整齐。</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3.理论竞赛选手须提前20分钟凭有效身份证件和参赛证进入赛场，对号入座并将有效身份证件和参赛证放在座位左上角明显位置，以备查验。开赛20分钟后方可离场，开赛迟到20分钟不得入场，按自动弃权处理。</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4.理论竞赛选手的出场顺序和工位由竞赛系统随机生成。</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5.实操竞赛选手须提前30分钟凭有效身份证件和参赛证进入赛场，对号（工位）入座并将有效身份证件和参赛证放在座位左上角明显位置，以备查验。开赛30分钟后方可离场，开赛迟到30分钟不得入场，按自动弃权处理。</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6.实操竞赛选手的出场顺序和工位由抽签决定。</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7.选手不能携带与竞赛相关的文件资料、通讯工具进入赛场。在赛场上应自觉遵守赛场秩序，保持安静，竞赛进行过程中不允许任何形式的交谈，不得大声喧哗吵闹，交头接耳，否则将给予警告或取消竞赛资格。</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 xml:space="preserve">8.各赛场除现场裁判、选手、赛场配备的工作人员以外，其他人员未经允许不得进入竞赛区。 </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9.竞赛期间，选手未经大赛执委会批准，不得接受其他单位和个人对竞赛相关内容的采访，不得私自公布竞赛相关资料和情况。</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10.竞赛过程中，选手须主动配合裁判工作，服从裁判安排，如果对竞赛的裁决有异议，可按规定以书面形式向执委会申诉受理部提出申诉。</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11.选手认为赛场提供的设备、工具不符合规定的</w:t>
      </w:r>
      <w:r>
        <w:rPr>
          <w:rFonts w:hint="eastAsia" w:ascii="仿宋_GB2312" w:hAnsi="仿宋_GB2312" w:cs="仿宋_GB2312"/>
          <w:color w:val="auto"/>
          <w:szCs w:val="32"/>
          <w:lang w:eastAsia="zh-CN"/>
        </w:rPr>
        <w:t>，</w:t>
      </w:r>
      <w:r>
        <w:rPr>
          <w:rFonts w:hint="eastAsia" w:ascii="仿宋_GB2312" w:hAnsi="仿宋_GB2312" w:eastAsia="仿宋_GB2312" w:cs="仿宋_GB2312"/>
          <w:color w:val="auto"/>
          <w:szCs w:val="32"/>
        </w:rPr>
        <w:t>应立即向裁判提出更换。</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12.竞赛规定时间结束时，选手应立即停止操作，有秩序</w:t>
      </w:r>
      <w:r>
        <w:rPr>
          <w:rFonts w:hint="eastAsia" w:ascii="仿宋_GB2312" w:hAnsi="仿宋_GB2312" w:cs="仿宋_GB2312"/>
          <w:color w:val="auto"/>
          <w:szCs w:val="32"/>
          <w:lang w:eastAsia="zh-CN"/>
        </w:rPr>
        <w:t>地</w:t>
      </w:r>
      <w:r>
        <w:rPr>
          <w:rFonts w:hint="eastAsia" w:ascii="仿宋_GB2312" w:hAnsi="仿宋_GB2312" w:eastAsia="仿宋_GB2312" w:cs="仿宋_GB2312"/>
          <w:color w:val="auto"/>
          <w:szCs w:val="32"/>
        </w:rPr>
        <w:t>离开赛场。</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13.冒名顶替、弄虚作假、作弊者，取消竞赛资格及成绩。</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14.竞赛现场配备实时监控系统，对现场赛事进行完整的实时监控和录像，并有专人对竞赛环节进行全程录像。</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15.如竞赛出现不可预见的异常情况，由执委会与组委会商议后，做出处理决定。</w:t>
      </w:r>
    </w:p>
    <w:p>
      <w:pPr>
        <w:keepNext w:val="0"/>
        <w:keepLines w:val="0"/>
        <w:pageBreakBefore w:val="0"/>
        <w:numPr>
          <w:ilvl w:val="0"/>
          <w:numId w:val="0"/>
        </w:numPr>
        <w:kinsoku/>
        <w:wordWrap/>
        <w:overflowPunct/>
        <w:topLinePunct w:val="0"/>
        <w:autoSpaceDE/>
        <w:autoSpaceDN/>
        <w:bidi w:val="0"/>
        <w:spacing w:line="580" w:lineRule="exact"/>
        <w:ind w:firstLine="642" w:firstLineChars="200"/>
        <w:rPr>
          <w:rFonts w:hint="eastAsia" w:ascii="Times New Roman" w:hAnsi="Times New Roman" w:eastAsia="楷体_GB2312" w:cs="Times New Roman"/>
          <w:b/>
          <w:bCs/>
          <w:color w:val="auto"/>
          <w:sz w:val="32"/>
          <w:szCs w:val="32"/>
          <w:highlight w:val="none"/>
          <w:lang w:val="en" w:eastAsia="zh-CN"/>
        </w:rPr>
      </w:pPr>
      <w:r>
        <w:rPr>
          <w:rFonts w:hint="default" w:ascii="Times New Roman" w:hAnsi="Times New Roman" w:eastAsia="楷体_GB2312" w:cs="Times New Roman"/>
          <w:b/>
          <w:bCs/>
          <w:color w:val="auto"/>
          <w:sz w:val="32"/>
          <w:szCs w:val="32"/>
          <w:highlight w:val="none"/>
          <w:lang w:val="en" w:eastAsia="zh-CN"/>
        </w:rPr>
        <w:t>（二）申诉与仲裁</w:t>
      </w:r>
    </w:p>
    <w:p>
      <w:pPr>
        <w:keepNext w:val="0"/>
        <w:keepLines w:val="0"/>
        <w:pageBreakBefore w:val="0"/>
        <w:kinsoku/>
        <w:wordWrap/>
        <w:overflowPunct/>
        <w:topLinePunct w:val="0"/>
        <w:autoSpaceDE/>
        <w:autoSpaceDN/>
        <w:bidi w:val="0"/>
        <w:spacing w:line="580" w:lineRule="exact"/>
        <w:ind w:firstLine="640" w:firstLineChars="200"/>
        <w:rPr>
          <w:color w:val="auto"/>
          <w:szCs w:val="32"/>
          <w:lang w:val="en"/>
        </w:rPr>
      </w:pPr>
      <w:r>
        <w:rPr>
          <w:rFonts w:hint="eastAsia" w:ascii="仿宋_GB2312" w:hAnsi="仿宋_GB2312" w:eastAsia="仿宋_GB2312" w:cs="仿宋_GB2312"/>
          <w:color w:val="auto"/>
          <w:szCs w:val="32"/>
          <w:lang w:val="en"/>
        </w:rPr>
        <w:t>现场申诉最迟应在</w:t>
      </w:r>
      <w:r>
        <w:rPr>
          <w:rFonts w:hint="eastAsia" w:ascii="仿宋_GB2312" w:hAnsi="仿宋_GB2312" w:cs="仿宋_GB2312"/>
          <w:color w:val="auto"/>
          <w:szCs w:val="32"/>
          <w:lang w:val="en-US" w:eastAsia="zh-CN"/>
        </w:rPr>
        <w:t>本人</w:t>
      </w:r>
      <w:r>
        <w:rPr>
          <w:rFonts w:hint="eastAsia" w:ascii="仿宋_GB2312" w:hAnsi="仿宋_GB2312" w:eastAsia="仿宋_GB2312" w:cs="仿宋_GB2312"/>
          <w:color w:val="auto"/>
          <w:szCs w:val="32"/>
          <w:lang w:val="en"/>
        </w:rPr>
        <w:t>竞赛结束后</w:t>
      </w:r>
      <w:r>
        <w:rPr>
          <w:rFonts w:hint="eastAsia" w:ascii="仿宋_GB2312" w:hAnsi="仿宋_GB2312" w:eastAsia="仿宋_GB2312" w:cs="仿宋_GB2312"/>
          <w:color w:val="auto"/>
          <w:szCs w:val="32"/>
        </w:rPr>
        <w:t>1小时</w:t>
      </w:r>
      <w:r>
        <w:rPr>
          <w:rFonts w:hint="eastAsia" w:ascii="仿宋_GB2312" w:hAnsi="仿宋_GB2312" w:eastAsia="仿宋_GB2312" w:cs="仿宋_GB2312"/>
          <w:color w:val="auto"/>
          <w:szCs w:val="32"/>
          <w:lang w:val="en"/>
        </w:rPr>
        <w:t>内</w:t>
      </w:r>
      <w:r>
        <w:rPr>
          <w:rFonts w:hint="eastAsia" w:ascii="仿宋_GB2312" w:hAnsi="仿宋_GB2312" w:eastAsia="仿宋_GB2312" w:cs="仿宋_GB2312"/>
          <w:sz w:val="32"/>
          <w:szCs w:val="32"/>
        </w:rPr>
        <w:t>以书面形式向申诉受理部</w:t>
      </w:r>
      <w:r>
        <w:rPr>
          <w:rFonts w:hint="eastAsia" w:ascii="仿宋_GB2312" w:hAnsi="仿宋_GB2312" w:eastAsia="仿宋_GB2312" w:cs="仿宋_GB2312"/>
          <w:color w:val="auto"/>
          <w:szCs w:val="32"/>
          <w:lang w:val="en"/>
        </w:rPr>
        <w:t>提出，超过时效将不予受理。技术问题由裁判长与裁判员共同商议解决</w:t>
      </w:r>
      <w:r>
        <w:rPr>
          <w:rFonts w:hint="eastAsia" w:ascii="仿宋_GB2312" w:hAnsi="仿宋_GB2312" w:cs="仿宋_GB2312"/>
          <w:color w:val="auto"/>
          <w:szCs w:val="32"/>
          <w:lang w:val="en" w:eastAsia="zh-CN"/>
        </w:rPr>
        <w:t>，</w:t>
      </w:r>
      <w:r>
        <w:rPr>
          <w:rFonts w:hint="eastAsia" w:ascii="仿宋_GB2312" w:hAnsi="仿宋_GB2312" w:eastAsia="仿宋_GB2312" w:cs="仿宋_GB2312"/>
          <w:color w:val="auto"/>
          <w:szCs w:val="32"/>
          <w:lang w:val="en"/>
        </w:rPr>
        <w:t>非技术问题由组委会进行调查、核实、裁决。</w:t>
      </w:r>
    </w:p>
    <w:bookmarkEnd w:id="0"/>
    <w:bookmarkEnd w:id="1"/>
    <w:p>
      <w:pPr>
        <w:keepNext w:val="0"/>
        <w:keepLines w:val="0"/>
        <w:pageBreakBefore w:val="0"/>
        <w:numPr>
          <w:ilvl w:val="0"/>
          <w:numId w:val="0"/>
        </w:numPr>
        <w:kinsoku/>
        <w:wordWrap/>
        <w:overflowPunct/>
        <w:topLinePunct w:val="0"/>
        <w:autoSpaceDE/>
        <w:autoSpaceDN/>
        <w:bidi w:val="0"/>
        <w:spacing w:line="580" w:lineRule="exact"/>
        <w:ind w:firstLine="642" w:firstLineChars="200"/>
        <w:rPr>
          <w:color w:val="auto"/>
          <w:szCs w:val="32"/>
          <w:lang w:val="en"/>
        </w:rPr>
      </w:pPr>
      <w:r>
        <w:rPr>
          <w:rFonts w:hint="eastAsia" w:ascii="Times New Roman" w:hAnsi="Times New Roman" w:eastAsia="楷体_GB2312" w:cs="Times New Roman"/>
          <w:b/>
          <w:bCs/>
          <w:color w:val="auto"/>
          <w:sz w:val="32"/>
          <w:szCs w:val="32"/>
          <w:highlight w:val="none"/>
          <w:lang w:val="en" w:eastAsia="zh-CN"/>
        </w:rPr>
        <w:t>（三）</w:t>
      </w:r>
      <w:r>
        <w:rPr>
          <w:rFonts w:hint="default" w:ascii="Times New Roman" w:hAnsi="Times New Roman" w:eastAsia="楷体_GB2312" w:cs="Times New Roman"/>
          <w:b/>
          <w:bCs/>
          <w:color w:val="auto"/>
          <w:sz w:val="32"/>
          <w:szCs w:val="32"/>
          <w:highlight w:val="none"/>
        </w:rPr>
        <w:t>赛事安全要求</w:t>
      </w:r>
    </w:p>
    <w:p>
      <w:pPr>
        <w:keepNext w:val="0"/>
        <w:keepLines w:val="0"/>
        <w:pageBreakBefore w:val="0"/>
        <w:numPr>
          <w:ilvl w:val="0"/>
          <w:numId w:val="0"/>
        </w:numPr>
        <w:kinsoku/>
        <w:wordWrap/>
        <w:overflowPunct/>
        <w:topLinePunct w:val="0"/>
        <w:autoSpaceDE/>
        <w:autoSpaceDN/>
        <w:bidi w:val="0"/>
        <w:spacing w:line="580" w:lineRule="exact"/>
        <w:ind w:firstLine="640" w:firstLineChars="200"/>
        <w:rPr>
          <w:rFonts w:hint="eastAsia"/>
          <w:color w:val="auto"/>
          <w:lang w:val="en"/>
        </w:rPr>
      </w:pPr>
      <w:r>
        <w:rPr>
          <w:rFonts w:hint="eastAsia" w:ascii="仿宋_GB2312" w:hAnsi="仿宋_GB2312" w:eastAsia="仿宋_GB2312" w:cs="仿宋_GB2312"/>
          <w:color w:val="auto"/>
          <w:szCs w:val="32"/>
          <w:lang w:val="en"/>
        </w:rPr>
        <w:t>由于决赛实际操作竞赛涉及用电和高精密度的工具，决赛场地设置专门的安全防卫人员，负责竞赛期间安全事务</w:t>
      </w:r>
      <w:r>
        <w:rPr>
          <w:rFonts w:hint="eastAsia" w:ascii="仿宋_GB2312" w:hAnsi="仿宋_GB2312" w:cs="仿宋_GB2312"/>
          <w:color w:val="auto"/>
          <w:szCs w:val="32"/>
          <w:lang w:val="en" w:eastAsia="zh-CN"/>
        </w:rPr>
        <w:t>。</w:t>
      </w:r>
      <w:bookmarkStart w:id="2" w:name="_GoBack"/>
      <w:bookmarkEnd w:id="2"/>
      <w:r>
        <w:rPr>
          <w:rFonts w:hint="eastAsia" w:ascii="仿宋_GB2312" w:hAnsi="仿宋_GB2312" w:eastAsia="仿宋_GB2312" w:cs="仿宋_GB2312"/>
          <w:color w:val="auto"/>
          <w:szCs w:val="32"/>
          <w:lang w:val="en"/>
        </w:rPr>
        <w:t>主要包括检查竞赛场地及其周围环境的安全防卫</w:t>
      </w:r>
      <w:r>
        <w:rPr>
          <w:rFonts w:hint="eastAsia" w:ascii="仿宋_GB2312" w:hAnsi="仿宋_GB2312" w:cs="仿宋_GB2312"/>
          <w:color w:val="auto"/>
          <w:szCs w:val="32"/>
          <w:lang w:val="en" w:eastAsia="zh-CN"/>
        </w:rPr>
        <w:t>、</w:t>
      </w:r>
      <w:r>
        <w:rPr>
          <w:rFonts w:hint="eastAsia" w:ascii="仿宋_GB2312" w:hAnsi="仿宋_GB2312" w:eastAsia="仿宋_GB2312" w:cs="仿宋_GB2312"/>
          <w:color w:val="auto"/>
          <w:szCs w:val="32"/>
          <w:lang w:val="en"/>
        </w:rPr>
        <w:t>制定紧急应对方案</w:t>
      </w:r>
      <w:r>
        <w:rPr>
          <w:rFonts w:hint="eastAsia" w:ascii="仿宋_GB2312" w:hAnsi="仿宋_GB2312" w:cs="仿宋_GB2312"/>
          <w:color w:val="auto"/>
          <w:szCs w:val="32"/>
          <w:lang w:val="en" w:eastAsia="zh-CN"/>
        </w:rPr>
        <w:t>、</w:t>
      </w:r>
      <w:r>
        <w:rPr>
          <w:rFonts w:hint="eastAsia" w:ascii="仿宋_GB2312" w:hAnsi="仿宋_GB2312" w:eastAsia="仿宋_GB2312" w:cs="仿宋_GB2312"/>
          <w:color w:val="auto"/>
          <w:szCs w:val="32"/>
          <w:lang w:val="en"/>
        </w:rPr>
        <w:t>督导竞赛场地用电等相关安全问题</w:t>
      </w:r>
      <w:r>
        <w:rPr>
          <w:rFonts w:hint="eastAsia" w:ascii="仿宋_GB2312" w:hAnsi="仿宋_GB2312" w:cs="仿宋_GB2312"/>
          <w:color w:val="auto"/>
          <w:szCs w:val="32"/>
          <w:lang w:val="en" w:eastAsia="zh-CN"/>
        </w:rPr>
        <w:t>、</w:t>
      </w:r>
      <w:r>
        <w:rPr>
          <w:rFonts w:hint="eastAsia" w:ascii="仿宋_GB2312" w:hAnsi="仿宋_GB2312" w:eastAsia="仿宋_GB2312" w:cs="仿宋_GB2312"/>
          <w:color w:val="auto"/>
          <w:szCs w:val="32"/>
          <w:lang w:val="en"/>
        </w:rPr>
        <w:t>分析和处理安全突发事件等工作。配备相应医疗人员和急救人员，并备有相应急救设施。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四、竞赛场地、设施设备等安排</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（一）赛场规格要求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1.初赛。参照计算机类工种职业技能鉴定要求布置赛场，配备与参赛人数相应的计算机及竞赛答题软件，保证单人单机并留有一定数量备用机。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bCs/>
          <w:color w:val="auto"/>
          <w:sz w:val="32"/>
          <w:szCs w:val="32"/>
          <w:highlight w:val="none"/>
        </w:rPr>
      </w:pPr>
      <w:r>
        <w:rPr>
          <w:rFonts w:hint="eastAsia" w:ascii="仿宋_GB2312" w:hAnsi="仿宋_GB2312" w:eastAsia="仿宋_GB2312" w:cs="仿宋_GB2312"/>
          <w:color w:val="auto"/>
          <w:sz w:val="32"/>
          <w:szCs w:val="32"/>
          <w:highlight w:val="none"/>
        </w:rPr>
        <w:t>2.决赛。由休息区、候赛区、裁判评分区、竞赛区、统分区、申诉受理区等组成。决赛竞赛区</w:t>
      </w:r>
      <w:r>
        <w:rPr>
          <w:rFonts w:hint="eastAsia" w:ascii="仿宋_GB2312" w:hAnsi="仿宋_GB2312" w:cs="仿宋_GB2312"/>
          <w:color w:val="auto"/>
          <w:sz w:val="32"/>
          <w:szCs w:val="32"/>
          <w:highlight w:val="none"/>
          <w:lang w:eastAsia="zh-CN"/>
        </w:rPr>
        <w:t>设有</w:t>
      </w:r>
      <w:r>
        <w:rPr>
          <w:rFonts w:hint="eastAsia" w:ascii="仿宋_GB2312" w:hAnsi="仿宋_GB2312" w:eastAsia="仿宋_GB2312" w:cs="仿宋_GB2312"/>
          <w:color w:val="auto"/>
          <w:sz w:val="32"/>
          <w:szCs w:val="32"/>
          <w:highlight w:val="none"/>
        </w:rPr>
        <w:t>独立工位</w:t>
      </w:r>
      <w:r>
        <w:rPr>
          <w:rFonts w:hint="eastAsia" w:ascii="仿宋_GB2312" w:hAnsi="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个</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备用赛位1个</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每个工位长5.5米，宽2.5米，工位间隔1米。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color w:val="auto"/>
        </w:rPr>
      </w:pPr>
      <w:r>
        <w:rPr>
          <w:color w:val="auto"/>
        </w:rPr>
        <w:drawing>
          <wp:anchor distT="0" distB="0" distL="114300" distR="114300" simplePos="0" relativeHeight="251659264" behindDoc="1" locked="0" layoutInCell="1" allowOverlap="1">
            <wp:simplePos x="0" y="0"/>
            <wp:positionH relativeFrom="column">
              <wp:posOffset>15875</wp:posOffset>
            </wp:positionH>
            <wp:positionV relativeFrom="paragraph">
              <wp:posOffset>680085</wp:posOffset>
            </wp:positionV>
            <wp:extent cx="5268595" cy="3183255"/>
            <wp:effectExtent l="0" t="0" r="8255" b="17145"/>
            <wp:wrapTight wrapText="bothSides">
              <wp:wrapPolygon>
                <wp:start x="0" y="0"/>
                <wp:lineTo x="0" y="21458"/>
                <wp:lineTo x="21556" y="21458"/>
                <wp:lineTo x="21556"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68595" cy="3183255"/>
                    </a:xfrm>
                    <a:prstGeom prst="rect">
                      <a:avLst/>
                    </a:prstGeom>
                    <a:noFill/>
                    <a:ln>
                      <a:noFill/>
                    </a:ln>
                  </pic:spPr>
                </pic:pic>
              </a:graphicData>
            </a:graphic>
          </wp:anchor>
        </w:drawing>
      </w:r>
      <w:r>
        <w:rPr>
          <w:rFonts w:hint="default" w:ascii="Times New Roman" w:hAnsi="Times New Roman" w:eastAsia="楷体_GB2312" w:cs="Times New Roman"/>
          <w:b/>
          <w:bCs/>
          <w:color w:val="auto"/>
          <w:sz w:val="32"/>
          <w:szCs w:val="32"/>
          <w:highlight w:val="none"/>
        </w:rPr>
        <w:t>（二）场地布局图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color w:val="auto"/>
        </w:rPr>
      </w:pP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基础设施清单</w:t>
      </w:r>
    </w:p>
    <w:p>
      <w:pPr>
        <w:pStyle w:val="2"/>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赛场提供的设备与下表中对应设备在外观、功能、性能方面非常相似，图片仅供参考，请以赛场提供设备为准。</w:t>
      </w:r>
    </w:p>
    <w:p>
      <w:pPr>
        <w:pStyle w:val="3"/>
        <w:rPr>
          <w:rFonts w:hint="eastAsia"/>
          <w:lang w:eastAsia="zh-CN"/>
        </w:rPr>
      </w:pPr>
    </w:p>
    <w:p>
      <w:pPr>
        <w:keepNext w:val="0"/>
        <w:keepLines w:val="0"/>
        <w:pageBreakBefore w:val="0"/>
        <w:kinsoku/>
        <w:wordWrap/>
        <w:overflowPunct/>
        <w:topLinePunct w:val="0"/>
        <w:autoSpaceDE/>
        <w:autoSpaceDN/>
        <w:bidi w:val="0"/>
        <w:spacing w:line="58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宝安区电池装配工项目</w:t>
      </w:r>
      <w:r>
        <w:rPr>
          <w:rFonts w:hint="eastAsia" w:ascii="仿宋_GB2312" w:hAnsi="仿宋_GB2312" w:eastAsia="仿宋_GB2312" w:cs="仿宋_GB2312"/>
          <w:color w:val="auto"/>
          <w:sz w:val="32"/>
          <w:szCs w:val="32"/>
          <w:lang w:val="en-US" w:eastAsia="zh-CN"/>
        </w:rPr>
        <w:t>赛场提供设施、设备</w:t>
      </w:r>
      <w:r>
        <w:rPr>
          <w:rFonts w:hint="eastAsia" w:ascii="仿宋_GB2312" w:hAnsi="仿宋_GB2312" w:eastAsia="仿宋_GB2312" w:cs="仿宋_GB2312"/>
          <w:color w:val="auto"/>
          <w:sz w:val="32"/>
          <w:szCs w:val="32"/>
        </w:rPr>
        <w:t>清单表</w:t>
      </w:r>
    </w:p>
    <w:tbl>
      <w:tblPr>
        <w:tblStyle w:val="8"/>
        <w:tblpPr w:leftFromText="180" w:rightFromText="180" w:vertAnchor="text" w:horzAnchor="page" w:tblpX="1586" w:tblpY="409"/>
        <w:tblOverlap w:val="never"/>
        <w:tblW w:w="8976" w:type="dxa"/>
        <w:jc w:val="center"/>
        <w:tblLayout w:type="autofit"/>
        <w:tblCellMar>
          <w:top w:w="0" w:type="dxa"/>
          <w:left w:w="108" w:type="dxa"/>
          <w:bottom w:w="0" w:type="dxa"/>
          <w:right w:w="108" w:type="dxa"/>
        </w:tblCellMar>
      </w:tblPr>
      <w:tblGrid>
        <w:gridCol w:w="3007"/>
        <w:gridCol w:w="2924"/>
        <w:gridCol w:w="3045"/>
      </w:tblGrid>
      <w:tr>
        <w:tblPrEx>
          <w:tblCellMar>
            <w:top w:w="0" w:type="dxa"/>
            <w:left w:w="108" w:type="dxa"/>
            <w:bottom w:w="0" w:type="dxa"/>
            <w:right w:w="108" w:type="dxa"/>
          </w:tblCellMar>
        </w:tblPrEx>
        <w:trPr>
          <w:trHeight w:val="518" w:hRule="atLeast"/>
          <w:jc w:val="center"/>
        </w:trPr>
        <w:tc>
          <w:tcPr>
            <w:tcW w:w="8976" w:type="dxa"/>
            <w:gridSpan w:val="3"/>
            <w:tcBorders>
              <w:top w:val="single" w:color="auto" w:sz="4"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设备目录</w:t>
            </w:r>
          </w:p>
        </w:tc>
      </w:tr>
      <w:tr>
        <w:tblPrEx>
          <w:tblCellMar>
            <w:top w:w="0" w:type="dxa"/>
            <w:left w:w="108" w:type="dxa"/>
            <w:bottom w:w="0" w:type="dxa"/>
            <w:right w:w="108" w:type="dxa"/>
          </w:tblCellMar>
        </w:tblPrEx>
        <w:trPr>
          <w:trHeight w:val="518" w:hRule="atLeast"/>
          <w:jc w:val="center"/>
        </w:trPr>
        <w:tc>
          <w:tcPr>
            <w:tcW w:w="3007" w:type="dxa"/>
            <w:tcBorders>
              <w:top w:val="single" w:color="auto" w:sz="4" w:space="0"/>
              <w:left w:val="single" w:color="auto" w:sz="8" w:space="0"/>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设备名称</w:t>
            </w:r>
          </w:p>
        </w:tc>
        <w:tc>
          <w:tcPr>
            <w:tcW w:w="2924" w:type="dxa"/>
            <w:tcBorders>
              <w:top w:val="single" w:color="auto" w:sz="4" w:space="0"/>
              <w:left w:val="nil"/>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技术规格</w:t>
            </w:r>
          </w:p>
        </w:tc>
        <w:tc>
          <w:tcPr>
            <w:tcW w:w="3045" w:type="dxa"/>
            <w:tcBorders>
              <w:top w:val="single" w:color="auto" w:sz="4" w:space="0"/>
              <w:left w:val="nil"/>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数量</w:t>
            </w:r>
          </w:p>
        </w:tc>
      </w:tr>
      <w:tr>
        <w:tblPrEx>
          <w:tblCellMar>
            <w:top w:w="0" w:type="dxa"/>
            <w:left w:w="108" w:type="dxa"/>
            <w:bottom w:w="0" w:type="dxa"/>
            <w:right w:w="108" w:type="dxa"/>
          </w:tblCellMar>
        </w:tblPrEx>
        <w:trPr>
          <w:trHeight w:val="2144" w:hRule="atLeast"/>
          <w:jc w:val="center"/>
        </w:trPr>
        <w:tc>
          <w:tcPr>
            <w:tcW w:w="30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drawing>
                <wp:anchor distT="0" distB="0" distL="114300" distR="114300" simplePos="0" relativeHeight="251660288" behindDoc="0" locked="0" layoutInCell="1" allowOverlap="1">
                  <wp:simplePos x="0" y="0"/>
                  <wp:positionH relativeFrom="column">
                    <wp:posOffset>150495</wp:posOffset>
                  </wp:positionH>
                  <wp:positionV relativeFrom="paragraph">
                    <wp:posOffset>71755</wp:posOffset>
                  </wp:positionV>
                  <wp:extent cx="1755775" cy="987425"/>
                  <wp:effectExtent l="0" t="0" r="15875" b="3175"/>
                  <wp:wrapNone/>
                  <wp:docPr id="1" name="图片 1" descr="微信图片_20240731083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731083059"/>
                          <pic:cNvPicPr>
                            <a:picLocks noChangeAspect="1"/>
                          </pic:cNvPicPr>
                        </pic:nvPicPr>
                        <pic:blipFill>
                          <a:blip r:embed="rId5"/>
                          <a:stretch>
                            <a:fillRect/>
                          </a:stretch>
                        </pic:blipFill>
                        <pic:spPr>
                          <a:xfrm>
                            <a:off x="0" y="0"/>
                            <a:ext cx="1755775" cy="98742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容量测试仪（单体）</w:t>
            </w:r>
          </w:p>
        </w:tc>
        <w:tc>
          <w:tcPr>
            <w:tcW w:w="29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≥1通道</w:t>
            </w:r>
          </w:p>
        </w:tc>
        <w:tc>
          <w:tcPr>
            <w:tcW w:w="30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1台/工位</w:t>
            </w:r>
          </w:p>
        </w:tc>
      </w:tr>
      <w:tr>
        <w:tblPrEx>
          <w:tblCellMar>
            <w:top w:w="0" w:type="dxa"/>
            <w:left w:w="108" w:type="dxa"/>
            <w:bottom w:w="0" w:type="dxa"/>
            <w:right w:w="108" w:type="dxa"/>
          </w:tblCellMar>
        </w:tblPrEx>
        <w:trPr>
          <w:trHeight w:val="3612" w:hRule="atLeast"/>
          <w:jc w:val="center"/>
        </w:trPr>
        <w:tc>
          <w:tcPr>
            <w:tcW w:w="30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r>
              <w:rPr>
                <w:b/>
                <w:color w:val="auto"/>
                <w:sz w:val="24"/>
                <w:szCs w:val="24"/>
              </w:rPr>
              <w:drawing>
                <wp:anchor distT="0" distB="0" distL="114300" distR="114300" simplePos="0" relativeHeight="251662336" behindDoc="0" locked="0" layoutInCell="1" allowOverlap="1">
                  <wp:simplePos x="0" y="0"/>
                  <wp:positionH relativeFrom="column">
                    <wp:posOffset>139065</wp:posOffset>
                  </wp:positionH>
                  <wp:positionV relativeFrom="paragraph">
                    <wp:posOffset>83820</wp:posOffset>
                  </wp:positionV>
                  <wp:extent cx="1760855" cy="1680845"/>
                  <wp:effectExtent l="0" t="0" r="10795" b="14605"/>
                  <wp:wrapNone/>
                  <wp:docPr id="5" name="图片 2" descr="微信图片_2024073018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微信图片_20240730185314"/>
                          <pic:cNvPicPr>
                            <a:picLocks noChangeAspect="1"/>
                          </pic:cNvPicPr>
                        </pic:nvPicPr>
                        <pic:blipFill>
                          <a:blip r:embed="rId6"/>
                          <a:srcRect l="5654" t="21954" b="10547"/>
                          <a:stretch>
                            <a:fillRect/>
                          </a:stretch>
                        </pic:blipFill>
                        <pic:spPr>
                          <a:xfrm>
                            <a:off x="0" y="0"/>
                            <a:ext cx="1760855" cy="168084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cs="仿宋_GB2312"/>
                <w:color w:val="auto"/>
                <w:sz w:val="24"/>
                <w:szCs w:val="24"/>
                <w:lang w:val="en-US" w:eastAsia="zh-CN"/>
              </w:rPr>
              <w:t>容量测试设备</w:t>
            </w:r>
            <w:r>
              <w:rPr>
                <w:rFonts w:hint="eastAsia" w:ascii="仿宋_GB2312" w:hAnsi="仿宋_GB2312" w:eastAsia="仿宋_GB2312" w:cs="仿宋_GB2312"/>
                <w:color w:val="auto"/>
                <w:sz w:val="24"/>
                <w:szCs w:val="24"/>
              </w:rPr>
              <w:t>（模组）</w:t>
            </w:r>
          </w:p>
        </w:tc>
        <w:tc>
          <w:tcPr>
            <w:tcW w:w="29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cs="仿宋_GB2312"/>
                <w:color w:val="auto"/>
                <w:sz w:val="24"/>
                <w:szCs w:val="24"/>
                <w:lang w:val="en-US" w:eastAsia="zh-CN"/>
              </w:rPr>
              <w:t>3</w:t>
            </w:r>
            <w:r>
              <w:rPr>
                <w:rFonts w:hint="eastAsia" w:ascii="仿宋_GB2312" w:hAnsi="仿宋_GB2312" w:eastAsia="仿宋_GB2312" w:cs="仿宋_GB2312"/>
                <w:color w:val="auto"/>
                <w:sz w:val="24"/>
                <w:szCs w:val="24"/>
              </w:rPr>
              <w:t>0A，100V</w:t>
            </w:r>
          </w:p>
        </w:tc>
        <w:tc>
          <w:tcPr>
            <w:tcW w:w="30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1台/工位</w:t>
            </w:r>
          </w:p>
        </w:tc>
      </w:tr>
      <w:tr>
        <w:tblPrEx>
          <w:tblCellMar>
            <w:top w:w="0" w:type="dxa"/>
            <w:left w:w="108" w:type="dxa"/>
            <w:bottom w:w="0" w:type="dxa"/>
            <w:right w:w="108" w:type="dxa"/>
          </w:tblCellMar>
        </w:tblPrEx>
        <w:trPr>
          <w:trHeight w:val="2387" w:hRule="atLeast"/>
          <w:jc w:val="center"/>
        </w:trPr>
        <w:tc>
          <w:tcPr>
            <w:tcW w:w="30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Calibri" w:hAnsi="Calibri" w:cs="Times New Roman"/>
                <w:b/>
                <w:color w:val="auto"/>
                <w:sz w:val="24"/>
                <w:szCs w:val="24"/>
                <w:lang w:val="en-US" w:bidi="ar-SA"/>
              </w:rPr>
              <w:drawing>
                <wp:anchor distT="0" distB="0" distL="114300" distR="114300" simplePos="0" relativeHeight="251661312" behindDoc="0" locked="0" layoutInCell="1" allowOverlap="1">
                  <wp:simplePos x="0" y="0"/>
                  <wp:positionH relativeFrom="column">
                    <wp:posOffset>434975</wp:posOffset>
                  </wp:positionH>
                  <wp:positionV relativeFrom="paragraph">
                    <wp:posOffset>45720</wp:posOffset>
                  </wp:positionV>
                  <wp:extent cx="1100455" cy="1270000"/>
                  <wp:effectExtent l="0" t="0" r="4445" b="6350"/>
                  <wp:wrapNone/>
                  <wp:docPr id="4" name="图片 1" descr="微信图片_20240730185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微信图片_20240730185343"/>
                          <pic:cNvPicPr>
                            <a:picLocks noChangeAspect="1"/>
                          </pic:cNvPicPr>
                        </pic:nvPicPr>
                        <pic:blipFill>
                          <a:blip r:embed="rId7"/>
                          <a:srcRect l="4515" t="22026" r="16254" b="9541"/>
                          <a:stretch>
                            <a:fillRect/>
                          </a:stretch>
                        </pic:blipFill>
                        <pic:spPr>
                          <a:xfrm>
                            <a:off x="0" y="0"/>
                            <a:ext cx="1100455" cy="127000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万用表</w:t>
            </w:r>
          </w:p>
        </w:tc>
        <w:tc>
          <w:tcPr>
            <w:tcW w:w="29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最大量程</w:t>
            </w:r>
            <w:r>
              <w:rPr>
                <w:rFonts w:hint="eastAsia" w:ascii="仿宋_GB2312" w:hAnsi="仿宋_GB2312" w:cs="仿宋_GB2312"/>
                <w:color w:val="auto"/>
                <w:sz w:val="24"/>
                <w:szCs w:val="24"/>
                <w:lang w:val="en-US" w:eastAsia="zh-CN"/>
              </w:rPr>
              <w:t>10</w:t>
            </w:r>
            <w:r>
              <w:rPr>
                <w:rFonts w:hint="eastAsia" w:ascii="仿宋_GB2312" w:hAnsi="仿宋_GB2312" w:eastAsia="仿宋_GB2312" w:cs="仿宋_GB2312"/>
                <w:color w:val="auto"/>
                <w:sz w:val="24"/>
                <w:szCs w:val="24"/>
              </w:rPr>
              <w:t>00V</w:t>
            </w:r>
          </w:p>
        </w:tc>
        <w:tc>
          <w:tcPr>
            <w:tcW w:w="30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1个/工位</w:t>
            </w:r>
          </w:p>
        </w:tc>
      </w:tr>
      <w:tr>
        <w:tblPrEx>
          <w:tblCellMar>
            <w:top w:w="0" w:type="dxa"/>
            <w:left w:w="108" w:type="dxa"/>
            <w:bottom w:w="0" w:type="dxa"/>
            <w:right w:w="108" w:type="dxa"/>
          </w:tblCellMar>
        </w:tblPrEx>
        <w:trPr>
          <w:trHeight w:val="2598" w:hRule="atLeast"/>
          <w:jc w:val="center"/>
        </w:trPr>
        <w:tc>
          <w:tcPr>
            <w:tcW w:w="3007" w:type="dxa"/>
            <w:tcBorders>
              <w:top w:val="single" w:color="auto" w:sz="4"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Times New Roman" w:hAnsi="Times New Roman"/>
                <w:color w:val="auto"/>
                <w:sz w:val="24"/>
                <w:szCs w:val="24"/>
              </w:rPr>
              <w:drawing>
                <wp:anchor distT="0" distB="0" distL="114300" distR="114300" simplePos="0" relativeHeight="251663360" behindDoc="0" locked="0" layoutInCell="1" allowOverlap="1">
                  <wp:simplePos x="0" y="0"/>
                  <wp:positionH relativeFrom="column">
                    <wp:posOffset>260985</wp:posOffset>
                  </wp:positionH>
                  <wp:positionV relativeFrom="paragraph">
                    <wp:posOffset>36195</wp:posOffset>
                  </wp:positionV>
                  <wp:extent cx="1383665" cy="1344930"/>
                  <wp:effectExtent l="0" t="0" r="6985" b="7620"/>
                  <wp:wrapNone/>
                  <wp:docPr id="6" name="图片 3" descr="微信图片_2024073018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微信图片_20240730185347"/>
                          <pic:cNvPicPr>
                            <a:picLocks noChangeAspect="1"/>
                          </pic:cNvPicPr>
                        </pic:nvPicPr>
                        <pic:blipFill>
                          <a:blip r:embed="rId8"/>
                          <a:srcRect l="6095" t="18041" r="3755" b="16265"/>
                          <a:stretch>
                            <a:fillRect/>
                          </a:stretch>
                        </pic:blipFill>
                        <pic:spPr>
                          <a:xfrm>
                            <a:off x="0" y="0"/>
                            <a:ext cx="1383665" cy="134493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绝缘</w:t>
            </w:r>
            <w:r>
              <w:rPr>
                <w:rFonts w:hint="eastAsia" w:ascii="仿宋_GB2312" w:hAnsi="仿宋_GB2312" w:cs="仿宋_GB2312"/>
                <w:color w:val="auto"/>
                <w:sz w:val="24"/>
                <w:szCs w:val="24"/>
                <w:lang w:val="en-US" w:eastAsia="zh-CN"/>
              </w:rPr>
              <w:t>表</w:t>
            </w:r>
          </w:p>
        </w:tc>
        <w:tc>
          <w:tcPr>
            <w:tcW w:w="2924" w:type="dxa"/>
            <w:tcBorders>
              <w:top w:val="single" w:color="auto" w:sz="4" w:space="0"/>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最大量程</w:t>
            </w:r>
            <w:r>
              <w:rPr>
                <w:rFonts w:hint="eastAsia" w:ascii="仿宋_GB2312" w:hAnsi="仿宋_GB2312" w:cs="仿宋_GB2312"/>
                <w:color w:val="auto"/>
                <w:sz w:val="24"/>
                <w:szCs w:val="24"/>
                <w:lang w:val="en-US" w:eastAsia="zh-CN"/>
              </w:rPr>
              <w:t>10</w:t>
            </w:r>
            <w:r>
              <w:rPr>
                <w:rFonts w:hint="eastAsia" w:ascii="仿宋_GB2312" w:hAnsi="仿宋_GB2312" w:eastAsia="仿宋_GB2312" w:cs="仿宋_GB2312"/>
                <w:color w:val="auto"/>
                <w:sz w:val="24"/>
                <w:szCs w:val="24"/>
              </w:rPr>
              <w:t>00V</w:t>
            </w:r>
          </w:p>
        </w:tc>
        <w:tc>
          <w:tcPr>
            <w:tcW w:w="3045" w:type="dxa"/>
            <w:tcBorders>
              <w:top w:val="single" w:color="auto" w:sz="4" w:space="0"/>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1个/工位</w:t>
            </w:r>
          </w:p>
        </w:tc>
      </w:tr>
      <w:tr>
        <w:tblPrEx>
          <w:tblCellMar>
            <w:top w:w="0" w:type="dxa"/>
            <w:left w:w="108" w:type="dxa"/>
            <w:bottom w:w="0" w:type="dxa"/>
            <w:right w:w="108" w:type="dxa"/>
          </w:tblCellMar>
        </w:tblPrEx>
        <w:trPr>
          <w:trHeight w:val="2625" w:hRule="atLeast"/>
          <w:jc w:val="center"/>
        </w:trPr>
        <w:tc>
          <w:tcPr>
            <w:tcW w:w="3007" w:type="dxa"/>
            <w:tcBorders>
              <w:top w:val="nil"/>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r>
              <w:rPr>
                <w:color w:val="auto"/>
                <w:sz w:val="24"/>
                <w:szCs w:val="24"/>
              </w:rPr>
              <w:drawing>
                <wp:anchor distT="0" distB="0" distL="114300" distR="114300" simplePos="0" relativeHeight="251664384" behindDoc="0" locked="0" layoutInCell="1" allowOverlap="1">
                  <wp:simplePos x="0" y="0"/>
                  <wp:positionH relativeFrom="column">
                    <wp:posOffset>464820</wp:posOffset>
                  </wp:positionH>
                  <wp:positionV relativeFrom="paragraph">
                    <wp:posOffset>187325</wp:posOffset>
                  </wp:positionV>
                  <wp:extent cx="987425" cy="1161415"/>
                  <wp:effectExtent l="0" t="0" r="3175" b="635"/>
                  <wp:wrapNone/>
                  <wp:docPr id="7" name="图片 4" descr="微信图片_2024073018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微信图片_20240730185402"/>
                          <pic:cNvPicPr>
                            <a:picLocks noChangeAspect="1"/>
                          </pic:cNvPicPr>
                        </pic:nvPicPr>
                        <pic:blipFill>
                          <a:blip r:embed="rId9"/>
                          <a:srcRect l="-8184" t="11878"/>
                          <a:stretch>
                            <a:fillRect/>
                          </a:stretch>
                        </pic:blipFill>
                        <pic:spPr>
                          <a:xfrm>
                            <a:off x="0" y="0"/>
                            <a:ext cx="987425" cy="116141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cs="仿宋_GB2312"/>
                <w:color w:val="auto"/>
                <w:sz w:val="24"/>
                <w:szCs w:val="24"/>
                <w:lang w:val="en-US" w:eastAsia="zh-CN"/>
              </w:rPr>
              <w:t>电池</w:t>
            </w:r>
            <w:r>
              <w:rPr>
                <w:rFonts w:hint="eastAsia" w:ascii="仿宋_GB2312" w:hAnsi="仿宋_GB2312" w:eastAsia="仿宋_GB2312" w:cs="仿宋_GB2312"/>
                <w:color w:val="auto"/>
                <w:sz w:val="24"/>
                <w:szCs w:val="24"/>
              </w:rPr>
              <w:t>内阻测试仪</w:t>
            </w:r>
          </w:p>
        </w:tc>
        <w:tc>
          <w:tcPr>
            <w:tcW w:w="292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最大量程</w:t>
            </w:r>
            <w:r>
              <w:rPr>
                <w:rFonts w:hint="eastAsia" w:ascii="仿宋_GB2312" w:hAnsi="仿宋_GB2312" w:cs="仿宋_GB2312"/>
                <w:color w:val="auto"/>
                <w:sz w:val="24"/>
                <w:szCs w:val="24"/>
                <w:lang w:val="en-US" w:eastAsia="zh-CN"/>
              </w:rPr>
              <w:t>6</w:t>
            </w:r>
            <w:r>
              <w:rPr>
                <w:rFonts w:hint="eastAsia" w:ascii="仿宋_GB2312" w:hAnsi="仿宋_GB2312" w:eastAsia="仿宋_GB2312" w:cs="仿宋_GB2312"/>
                <w:color w:val="auto"/>
                <w:sz w:val="24"/>
                <w:szCs w:val="24"/>
              </w:rPr>
              <w:t>0V</w:t>
            </w:r>
          </w:p>
        </w:tc>
        <w:tc>
          <w:tcPr>
            <w:tcW w:w="304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1个/工位</w:t>
            </w:r>
          </w:p>
        </w:tc>
      </w:tr>
      <w:tr>
        <w:tblPrEx>
          <w:tblCellMar>
            <w:top w:w="0" w:type="dxa"/>
            <w:left w:w="108" w:type="dxa"/>
            <w:bottom w:w="0" w:type="dxa"/>
            <w:right w:w="108" w:type="dxa"/>
          </w:tblCellMar>
        </w:tblPrEx>
        <w:trPr>
          <w:trHeight w:val="1944" w:hRule="atLeast"/>
          <w:jc w:val="center"/>
        </w:trPr>
        <w:tc>
          <w:tcPr>
            <w:tcW w:w="3007" w:type="dxa"/>
            <w:tcBorders>
              <w:top w:val="nil"/>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drawing>
                <wp:anchor distT="0" distB="0" distL="114300" distR="114300" simplePos="0" relativeHeight="251668480" behindDoc="0" locked="0" layoutInCell="1" allowOverlap="1">
                  <wp:simplePos x="0" y="0"/>
                  <wp:positionH relativeFrom="column">
                    <wp:posOffset>188595</wp:posOffset>
                  </wp:positionH>
                  <wp:positionV relativeFrom="paragraph">
                    <wp:posOffset>153670</wp:posOffset>
                  </wp:positionV>
                  <wp:extent cx="1589405" cy="1589405"/>
                  <wp:effectExtent l="0" t="0" r="10795" b="10795"/>
                  <wp:wrapSquare wrapText="bothSides"/>
                  <wp:docPr id="8" name="图片 8" descr="rIGgwatrvWLQEA4ba0WE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rIGgwatrvWLQEA4ba0WE0A"/>
                          <pic:cNvPicPr>
                            <a:picLocks noChangeAspect="1"/>
                          </pic:cNvPicPr>
                        </pic:nvPicPr>
                        <pic:blipFill>
                          <a:blip r:embed="rId10"/>
                          <a:stretch>
                            <a:fillRect/>
                          </a:stretch>
                        </pic:blipFill>
                        <pic:spPr>
                          <a:xfrm>
                            <a:off x="0" y="0"/>
                            <a:ext cx="1589405" cy="1589405"/>
                          </a:xfrm>
                          <a:prstGeom prst="rect">
                            <a:avLst/>
                          </a:prstGeom>
                        </pic:spPr>
                      </pic:pic>
                    </a:graphicData>
                  </a:graphic>
                </wp:anchor>
              </w:drawing>
            </w:r>
            <w:r>
              <w:rPr>
                <w:rFonts w:hint="eastAsia" w:ascii="仿宋_GB2312" w:hAnsi="仿宋_GB2312" w:eastAsia="仿宋_GB2312" w:cs="仿宋_GB2312"/>
                <w:color w:val="auto"/>
                <w:sz w:val="24"/>
                <w:szCs w:val="24"/>
              </w:rPr>
              <w:t>绝缘工具套装</w:t>
            </w:r>
          </w:p>
        </w:tc>
        <w:tc>
          <w:tcPr>
            <w:tcW w:w="2924" w:type="dxa"/>
            <w:tcBorders>
              <w:top w:val="nil"/>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w:t>
            </w:r>
          </w:p>
        </w:tc>
        <w:tc>
          <w:tcPr>
            <w:tcW w:w="304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1套/工位</w:t>
            </w:r>
          </w:p>
        </w:tc>
      </w:tr>
      <w:tr>
        <w:tblPrEx>
          <w:tblCellMar>
            <w:top w:w="0" w:type="dxa"/>
            <w:left w:w="108" w:type="dxa"/>
            <w:bottom w:w="0" w:type="dxa"/>
            <w:right w:w="108" w:type="dxa"/>
          </w:tblCellMar>
        </w:tblPrEx>
        <w:trPr>
          <w:trHeight w:val="2982" w:hRule="atLeast"/>
          <w:jc w:val="center"/>
        </w:trPr>
        <w:tc>
          <w:tcPr>
            <w:tcW w:w="3007" w:type="dxa"/>
            <w:tcBorders>
              <w:top w:val="nil"/>
              <w:left w:val="single" w:color="auto" w:sz="8" w:space="0"/>
              <w:bottom w:val="single" w:color="auto" w:sz="4"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drawing>
                <wp:anchor distT="0" distB="0" distL="114300" distR="114300" simplePos="0" relativeHeight="251665408" behindDoc="0" locked="0" layoutInCell="1" allowOverlap="1">
                  <wp:simplePos x="0" y="0"/>
                  <wp:positionH relativeFrom="column">
                    <wp:posOffset>316865</wp:posOffset>
                  </wp:positionH>
                  <wp:positionV relativeFrom="paragraph">
                    <wp:posOffset>41275</wp:posOffset>
                  </wp:positionV>
                  <wp:extent cx="1290320" cy="1290320"/>
                  <wp:effectExtent l="0" t="0" r="5080" b="5080"/>
                  <wp:wrapNone/>
                  <wp:docPr id="9" name="图片 9" descr="553a6010f1ec8f39c9b451e6f1059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53a6010f1ec8f39c9b451e6f1059215"/>
                          <pic:cNvPicPr>
                            <a:picLocks noChangeAspect="1"/>
                          </pic:cNvPicPr>
                        </pic:nvPicPr>
                        <pic:blipFill>
                          <a:blip r:embed="rId11"/>
                          <a:stretch>
                            <a:fillRect/>
                          </a:stretch>
                        </pic:blipFill>
                        <pic:spPr>
                          <a:xfrm>
                            <a:off x="0" y="0"/>
                            <a:ext cx="1290320" cy="129032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数据传输卡（CAN卡）</w:t>
            </w:r>
          </w:p>
        </w:tc>
        <w:tc>
          <w:tcPr>
            <w:tcW w:w="2924" w:type="dxa"/>
            <w:tcBorders>
              <w:top w:val="nil"/>
              <w:left w:val="nil"/>
              <w:bottom w:val="single" w:color="auto" w:sz="4"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p>
        </w:tc>
        <w:tc>
          <w:tcPr>
            <w:tcW w:w="3045" w:type="dxa"/>
            <w:tcBorders>
              <w:top w:val="nil"/>
              <w:left w:val="nil"/>
              <w:bottom w:val="single" w:color="auto" w:sz="4"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1个/工位</w:t>
            </w:r>
          </w:p>
        </w:tc>
      </w:tr>
      <w:tr>
        <w:tblPrEx>
          <w:tblCellMar>
            <w:top w:w="0" w:type="dxa"/>
            <w:left w:w="108" w:type="dxa"/>
            <w:bottom w:w="0" w:type="dxa"/>
            <w:right w:w="108" w:type="dxa"/>
          </w:tblCellMar>
        </w:tblPrEx>
        <w:trPr>
          <w:trHeight w:val="2435" w:hRule="atLeast"/>
          <w:jc w:val="center"/>
        </w:trPr>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drawing>
                <wp:anchor distT="0" distB="0" distL="114300" distR="114300" simplePos="0" relativeHeight="251666432" behindDoc="0" locked="0" layoutInCell="1" allowOverlap="1">
                  <wp:simplePos x="0" y="0"/>
                  <wp:positionH relativeFrom="column">
                    <wp:posOffset>679450</wp:posOffset>
                  </wp:positionH>
                  <wp:positionV relativeFrom="paragraph">
                    <wp:posOffset>88265</wp:posOffset>
                  </wp:positionV>
                  <wp:extent cx="937260" cy="1184275"/>
                  <wp:effectExtent l="0" t="0" r="15240" b="15875"/>
                  <wp:wrapNone/>
                  <wp:docPr id="10" name="图片 10" descr="a752d5c9974f1831a5ab31093c8c6c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a752d5c9974f1831a5ab31093c8c6c03"/>
                          <pic:cNvPicPr>
                            <a:picLocks noChangeAspect="1"/>
                          </pic:cNvPicPr>
                        </pic:nvPicPr>
                        <pic:blipFill>
                          <a:blip r:embed="rId12"/>
                          <a:stretch>
                            <a:fillRect/>
                          </a:stretch>
                        </pic:blipFill>
                        <pic:spPr>
                          <a:xfrm>
                            <a:off x="0" y="0"/>
                            <a:ext cx="937260" cy="118427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笔记本电脑</w:t>
            </w:r>
          </w:p>
        </w:tc>
        <w:tc>
          <w:tcPr>
            <w:tcW w:w="29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p>
        </w:tc>
        <w:tc>
          <w:tcPr>
            <w:tcW w:w="30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1台/工位</w:t>
            </w:r>
          </w:p>
        </w:tc>
      </w:tr>
      <w:tr>
        <w:tblPrEx>
          <w:tblCellMar>
            <w:top w:w="0" w:type="dxa"/>
            <w:left w:w="108" w:type="dxa"/>
            <w:bottom w:w="0" w:type="dxa"/>
            <w:right w:w="108" w:type="dxa"/>
          </w:tblCellMar>
        </w:tblPrEx>
        <w:trPr>
          <w:trHeight w:val="3082" w:hRule="atLeast"/>
          <w:jc w:val="center"/>
        </w:trPr>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drawing>
                <wp:anchor distT="0" distB="0" distL="114300" distR="114300" simplePos="0" relativeHeight="251667456" behindDoc="0" locked="0" layoutInCell="1" allowOverlap="1">
                  <wp:simplePos x="0" y="0"/>
                  <wp:positionH relativeFrom="column">
                    <wp:posOffset>242570</wp:posOffset>
                  </wp:positionH>
                  <wp:positionV relativeFrom="paragraph">
                    <wp:posOffset>52070</wp:posOffset>
                  </wp:positionV>
                  <wp:extent cx="1610360" cy="1047750"/>
                  <wp:effectExtent l="0" t="0" r="0" b="0"/>
                  <wp:wrapNone/>
                  <wp:docPr id="11" name="图片 11" descr="834620885f5bac222191056b0eee90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834620885f5bac222191056b0eee905b"/>
                          <pic:cNvPicPr>
                            <a:picLocks noChangeAspect="1"/>
                          </pic:cNvPicPr>
                        </pic:nvPicPr>
                        <pic:blipFill>
                          <a:blip r:embed="rId13"/>
                          <a:srcRect l="5090" t="18038" r="4014" b="16693"/>
                          <a:stretch>
                            <a:fillRect/>
                          </a:stretch>
                        </pic:blipFill>
                        <pic:spPr>
                          <a:xfrm>
                            <a:off x="0" y="0"/>
                            <a:ext cx="1610360" cy="104775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直流稳压电源</w:t>
            </w:r>
          </w:p>
        </w:tc>
        <w:tc>
          <w:tcPr>
            <w:tcW w:w="29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12V</w:t>
            </w:r>
          </w:p>
        </w:tc>
        <w:tc>
          <w:tcPr>
            <w:tcW w:w="30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1台/工位</w:t>
            </w:r>
          </w:p>
        </w:tc>
      </w:tr>
      <w:tr>
        <w:tblPrEx>
          <w:tblCellMar>
            <w:top w:w="0" w:type="dxa"/>
            <w:left w:w="108" w:type="dxa"/>
            <w:bottom w:w="0" w:type="dxa"/>
            <w:right w:w="108" w:type="dxa"/>
          </w:tblCellMar>
        </w:tblPrEx>
        <w:trPr>
          <w:trHeight w:val="935" w:hRule="atLeast"/>
          <w:jc w:val="center"/>
        </w:trPr>
        <w:tc>
          <w:tcPr>
            <w:tcW w:w="30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灭火器</w:t>
            </w:r>
          </w:p>
        </w:tc>
        <w:tc>
          <w:tcPr>
            <w:tcW w:w="29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w:t>
            </w:r>
          </w:p>
        </w:tc>
        <w:tc>
          <w:tcPr>
            <w:tcW w:w="30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1个/工位</w:t>
            </w:r>
          </w:p>
        </w:tc>
      </w:tr>
      <w:tr>
        <w:tblPrEx>
          <w:tblCellMar>
            <w:top w:w="0" w:type="dxa"/>
            <w:left w:w="108" w:type="dxa"/>
            <w:bottom w:w="0" w:type="dxa"/>
            <w:right w:w="108" w:type="dxa"/>
          </w:tblCellMar>
        </w:tblPrEx>
        <w:trPr>
          <w:trHeight w:val="1793" w:hRule="atLeast"/>
          <w:jc w:val="center"/>
        </w:trPr>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个人防护装备（手套、安全帽、防护镜）</w:t>
            </w:r>
          </w:p>
        </w:tc>
        <w:tc>
          <w:tcPr>
            <w:tcW w:w="29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p>
        </w:tc>
        <w:tc>
          <w:tcPr>
            <w:tcW w:w="30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1套/工位</w:t>
            </w:r>
          </w:p>
        </w:tc>
      </w:tr>
      <w:tr>
        <w:tblPrEx>
          <w:tblCellMar>
            <w:top w:w="0" w:type="dxa"/>
            <w:left w:w="108" w:type="dxa"/>
            <w:bottom w:w="0" w:type="dxa"/>
            <w:right w:w="108" w:type="dxa"/>
          </w:tblCellMar>
        </w:tblPrEx>
        <w:trPr>
          <w:trHeight w:val="1153" w:hRule="atLeast"/>
          <w:jc w:val="center"/>
        </w:trPr>
        <w:tc>
          <w:tcPr>
            <w:tcW w:w="30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采样板</w:t>
            </w:r>
          </w:p>
        </w:tc>
        <w:tc>
          <w:tcPr>
            <w:tcW w:w="29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w:t>
            </w:r>
          </w:p>
        </w:tc>
        <w:tc>
          <w:tcPr>
            <w:tcW w:w="30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1个/工位</w:t>
            </w:r>
          </w:p>
        </w:tc>
      </w:tr>
      <w:tr>
        <w:tblPrEx>
          <w:tblCellMar>
            <w:top w:w="0" w:type="dxa"/>
            <w:left w:w="108" w:type="dxa"/>
            <w:bottom w:w="0" w:type="dxa"/>
            <w:right w:w="108" w:type="dxa"/>
          </w:tblCellMar>
        </w:tblPrEx>
        <w:trPr>
          <w:trHeight w:val="949" w:hRule="atLeast"/>
          <w:jc w:val="center"/>
        </w:trPr>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秒表</w:t>
            </w:r>
          </w:p>
        </w:tc>
        <w:tc>
          <w:tcPr>
            <w:tcW w:w="29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w:t>
            </w:r>
          </w:p>
        </w:tc>
        <w:tc>
          <w:tcPr>
            <w:tcW w:w="30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1个/工位</w:t>
            </w:r>
          </w:p>
        </w:tc>
      </w:tr>
      <w:tr>
        <w:tblPrEx>
          <w:tblCellMar>
            <w:top w:w="0" w:type="dxa"/>
            <w:left w:w="108" w:type="dxa"/>
            <w:bottom w:w="0" w:type="dxa"/>
            <w:right w:w="108" w:type="dxa"/>
          </w:tblCellMar>
        </w:tblPrEx>
        <w:trPr>
          <w:trHeight w:val="893" w:hRule="atLeast"/>
          <w:jc w:val="center"/>
        </w:trPr>
        <w:tc>
          <w:tcPr>
            <w:tcW w:w="30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操作台</w:t>
            </w:r>
          </w:p>
        </w:tc>
        <w:tc>
          <w:tcPr>
            <w:tcW w:w="29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2.5M*5M</w:t>
            </w:r>
          </w:p>
        </w:tc>
        <w:tc>
          <w:tcPr>
            <w:tcW w:w="30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1台/工位</w:t>
            </w:r>
          </w:p>
        </w:tc>
      </w:tr>
    </w:tbl>
    <w:p>
      <w:pPr>
        <w:keepNext w:val="0"/>
        <w:keepLines w:val="0"/>
        <w:pageBreakBefore w:val="0"/>
        <w:kinsoku/>
        <w:wordWrap/>
        <w:overflowPunct/>
        <w:topLinePunct w:val="0"/>
        <w:autoSpaceDE/>
        <w:autoSpaceDN/>
        <w:bidi w:val="0"/>
        <w:spacing w:line="580" w:lineRule="exact"/>
        <w:jc w:val="center"/>
        <w:rPr>
          <w:rFonts w:hint="eastAsia" w:ascii="仿宋_GB2312" w:hAnsi="仿宋_GB2312" w:eastAsia="仿宋_GB2312" w:cs="仿宋_GB2312"/>
          <w:color w:val="auto"/>
          <w:sz w:val="32"/>
          <w:szCs w:val="32"/>
        </w:rPr>
      </w:pPr>
    </w:p>
    <w:tbl>
      <w:tblPr>
        <w:tblStyle w:val="8"/>
        <w:tblpPr w:leftFromText="180" w:rightFromText="180" w:vertAnchor="text" w:horzAnchor="page" w:tblpX="1384" w:tblpY="2333"/>
        <w:tblOverlap w:val="never"/>
        <w:tblW w:w="8971" w:type="dxa"/>
        <w:jc w:val="center"/>
        <w:tblLayout w:type="autofit"/>
        <w:tblCellMar>
          <w:top w:w="0" w:type="dxa"/>
          <w:left w:w="108" w:type="dxa"/>
          <w:bottom w:w="0" w:type="dxa"/>
          <w:right w:w="108" w:type="dxa"/>
        </w:tblCellMar>
      </w:tblPr>
      <w:tblGrid>
        <w:gridCol w:w="719"/>
        <w:gridCol w:w="3375"/>
        <w:gridCol w:w="1934"/>
        <w:gridCol w:w="2943"/>
      </w:tblGrid>
      <w:tr>
        <w:tblPrEx>
          <w:tblCellMar>
            <w:top w:w="0" w:type="dxa"/>
            <w:left w:w="108" w:type="dxa"/>
            <w:bottom w:w="0" w:type="dxa"/>
            <w:right w:w="108" w:type="dxa"/>
          </w:tblCellMar>
        </w:tblPrEx>
        <w:trPr>
          <w:trHeight w:val="642" w:hRule="atLeast"/>
          <w:jc w:val="center"/>
        </w:trPr>
        <w:tc>
          <w:tcPr>
            <w:tcW w:w="8971" w:type="dxa"/>
            <w:gridSpan w:val="4"/>
            <w:tcBorders>
              <w:top w:val="single" w:color="auto" w:sz="4"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物料目录</w:t>
            </w:r>
          </w:p>
        </w:tc>
      </w:tr>
      <w:tr>
        <w:tblPrEx>
          <w:tblCellMar>
            <w:top w:w="0" w:type="dxa"/>
            <w:left w:w="108" w:type="dxa"/>
            <w:bottom w:w="0" w:type="dxa"/>
            <w:right w:w="108" w:type="dxa"/>
          </w:tblCellMar>
        </w:tblPrEx>
        <w:trPr>
          <w:trHeight w:val="642" w:hRule="atLeast"/>
          <w:jc w:val="center"/>
        </w:trPr>
        <w:tc>
          <w:tcPr>
            <w:tcW w:w="719" w:type="dxa"/>
            <w:tcBorders>
              <w:top w:val="single" w:color="auto" w:sz="4"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cs="仿宋_GB2312"/>
                <w:b/>
                <w:bCs/>
                <w:color w:val="auto"/>
                <w:sz w:val="24"/>
                <w:szCs w:val="24"/>
                <w:lang w:val="en-US" w:eastAsia="zh-CN"/>
              </w:rPr>
            </w:pPr>
            <w:r>
              <w:rPr>
                <w:rFonts w:hint="eastAsia" w:ascii="仿宋_GB2312" w:hAnsi="仿宋_GB2312" w:cs="仿宋_GB2312"/>
                <w:b/>
                <w:bCs/>
                <w:color w:val="auto"/>
                <w:sz w:val="24"/>
                <w:szCs w:val="24"/>
                <w:lang w:val="en-US" w:eastAsia="zh-CN"/>
              </w:rPr>
              <w:t>序号</w:t>
            </w:r>
          </w:p>
        </w:tc>
        <w:tc>
          <w:tcPr>
            <w:tcW w:w="3375" w:type="dxa"/>
            <w:tcBorders>
              <w:top w:val="single" w:color="auto" w:sz="4"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b/>
                <w:bCs/>
                <w:color w:val="auto"/>
                <w:sz w:val="24"/>
                <w:szCs w:val="24"/>
                <w:lang w:val="en-US" w:eastAsia="zh-CN"/>
              </w:rPr>
            </w:pPr>
            <w:r>
              <w:rPr>
                <w:rFonts w:hint="eastAsia" w:ascii="仿宋_GB2312" w:hAnsi="仿宋_GB2312" w:cs="仿宋_GB2312"/>
                <w:b/>
                <w:bCs/>
                <w:color w:val="auto"/>
                <w:sz w:val="24"/>
                <w:szCs w:val="24"/>
                <w:lang w:val="en-US" w:eastAsia="zh-CN"/>
              </w:rPr>
              <w:t>名称</w:t>
            </w:r>
          </w:p>
        </w:tc>
        <w:tc>
          <w:tcPr>
            <w:tcW w:w="1934" w:type="dxa"/>
            <w:tcBorders>
              <w:top w:val="single" w:color="auto" w:sz="4" w:space="0"/>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cs="仿宋_GB2312"/>
                <w:b/>
                <w:bCs/>
                <w:color w:val="auto"/>
                <w:sz w:val="24"/>
                <w:szCs w:val="24"/>
                <w:lang w:val="en-US" w:eastAsia="zh-CN"/>
              </w:rPr>
              <w:t>规格</w:t>
            </w:r>
          </w:p>
        </w:tc>
        <w:tc>
          <w:tcPr>
            <w:tcW w:w="2943" w:type="dxa"/>
            <w:tcBorders>
              <w:top w:val="single" w:color="auto" w:sz="4" w:space="0"/>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cs="仿宋_GB2312"/>
                <w:b/>
                <w:bCs/>
                <w:color w:val="auto"/>
                <w:sz w:val="24"/>
                <w:szCs w:val="24"/>
                <w:lang w:val="en-US" w:eastAsia="zh-CN"/>
              </w:rPr>
            </w:pPr>
            <w:r>
              <w:rPr>
                <w:rFonts w:hint="eastAsia" w:ascii="仿宋_GB2312" w:hAnsi="仿宋_GB2312" w:cs="仿宋_GB2312"/>
                <w:b/>
                <w:bCs/>
                <w:color w:val="auto"/>
                <w:sz w:val="24"/>
                <w:szCs w:val="24"/>
                <w:lang w:val="en-US" w:eastAsia="zh-CN"/>
              </w:rPr>
              <w:t>数量</w:t>
            </w:r>
          </w:p>
        </w:tc>
      </w:tr>
      <w:tr>
        <w:tblPrEx>
          <w:tblCellMar>
            <w:top w:w="0" w:type="dxa"/>
            <w:left w:w="108" w:type="dxa"/>
            <w:bottom w:w="0" w:type="dxa"/>
            <w:right w:w="108" w:type="dxa"/>
          </w:tblCellMar>
        </w:tblPrEx>
        <w:trPr>
          <w:trHeight w:val="642" w:hRule="atLeast"/>
          <w:jc w:val="center"/>
        </w:trPr>
        <w:tc>
          <w:tcPr>
            <w:tcW w:w="719" w:type="dxa"/>
            <w:tcBorders>
              <w:top w:val="single" w:color="auto" w:sz="4"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w:t>
            </w:r>
          </w:p>
        </w:tc>
        <w:tc>
          <w:tcPr>
            <w:tcW w:w="3375" w:type="dxa"/>
            <w:tcBorders>
              <w:top w:val="single" w:color="auto" w:sz="4"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LFP</w:t>
            </w:r>
            <w:r>
              <w:rPr>
                <w:rFonts w:hint="eastAsia" w:ascii="仿宋_GB2312" w:hAnsi="仿宋_GB2312" w:eastAsia="仿宋_GB2312" w:cs="仿宋_GB2312"/>
                <w:color w:val="auto"/>
                <w:sz w:val="24"/>
                <w:szCs w:val="24"/>
              </w:rPr>
              <w:t>单体电池</w:t>
            </w:r>
          </w:p>
        </w:tc>
        <w:tc>
          <w:tcPr>
            <w:tcW w:w="1934" w:type="dxa"/>
            <w:tcBorders>
              <w:top w:val="single" w:color="auto" w:sz="4" w:space="0"/>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方形</w:t>
            </w:r>
          </w:p>
        </w:tc>
        <w:tc>
          <w:tcPr>
            <w:tcW w:w="2943" w:type="dxa"/>
            <w:tcBorders>
              <w:top w:val="single" w:color="auto" w:sz="4" w:space="0"/>
              <w:left w:val="nil"/>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cs="仿宋_GB2312"/>
                <w:color w:val="auto"/>
                <w:sz w:val="24"/>
                <w:szCs w:val="24"/>
                <w:lang w:val="en-US" w:eastAsia="zh-CN"/>
              </w:rPr>
              <w:t>22</w:t>
            </w:r>
            <w:r>
              <w:rPr>
                <w:rFonts w:hint="eastAsia" w:ascii="仿宋_GB2312" w:hAnsi="仿宋_GB2312" w:eastAsia="仿宋_GB2312" w:cs="仿宋_GB2312"/>
                <w:color w:val="auto"/>
                <w:sz w:val="24"/>
                <w:szCs w:val="24"/>
              </w:rPr>
              <w:t>0颗</w:t>
            </w:r>
          </w:p>
        </w:tc>
      </w:tr>
      <w:tr>
        <w:tblPrEx>
          <w:tblCellMar>
            <w:top w:w="0" w:type="dxa"/>
            <w:left w:w="108" w:type="dxa"/>
            <w:bottom w:w="0" w:type="dxa"/>
            <w:right w:w="108" w:type="dxa"/>
          </w:tblCellMar>
        </w:tblPrEx>
        <w:trPr>
          <w:trHeight w:val="642" w:hRule="atLeast"/>
          <w:jc w:val="center"/>
        </w:trPr>
        <w:tc>
          <w:tcPr>
            <w:tcW w:w="719" w:type="dxa"/>
            <w:tcBorders>
              <w:top w:val="nil"/>
              <w:left w:val="single" w:color="auto" w:sz="8" w:space="0"/>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2</w:t>
            </w:r>
          </w:p>
        </w:tc>
        <w:tc>
          <w:tcPr>
            <w:tcW w:w="3375" w:type="dxa"/>
            <w:tcBorders>
              <w:top w:val="nil"/>
              <w:left w:val="single" w:color="auto" w:sz="8" w:space="0"/>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LFP电池</w:t>
            </w:r>
            <w:r>
              <w:rPr>
                <w:rFonts w:hint="eastAsia" w:ascii="仿宋_GB2312" w:hAnsi="仿宋_GB2312" w:cs="仿宋_GB2312"/>
                <w:color w:val="auto"/>
                <w:sz w:val="24"/>
                <w:szCs w:val="24"/>
                <w:lang w:val="en-US" w:eastAsia="zh-CN"/>
              </w:rPr>
              <w:t>模组</w:t>
            </w:r>
          </w:p>
        </w:tc>
        <w:tc>
          <w:tcPr>
            <w:tcW w:w="1934" w:type="dxa"/>
            <w:tcBorders>
              <w:top w:val="nil"/>
              <w:left w:val="nil"/>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方形</w:t>
            </w:r>
          </w:p>
        </w:tc>
        <w:tc>
          <w:tcPr>
            <w:tcW w:w="2943" w:type="dxa"/>
            <w:tcBorders>
              <w:top w:val="nil"/>
              <w:left w:val="nil"/>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11组</w:t>
            </w:r>
          </w:p>
        </w:tc>
      </w:tr>
      <w:tr>
        <w:tblPrEx>
          <w:tblCellMar>
            <w:top w:w="0" w:type="dxa"/>
            <w:left w:w="108" w:type="dxa"/>
            <w:bottom w:w="0" w:type="dxa"/>
            <w:right w:w="108" w:type="dxa"/>
          </w:tblCellMar>
        </w:tblPrEx>
        <w:trPr>
          <w:trHeight w:val="642" w:hRule="atLeast"/>
          <w:jc w:val="center"/>
        </w:trPr>
        <w:tc>
          <w:tcPr>
            <w:tcW w:w="719" w:type="dxa"/>
            <w:tcBorders>
              <w:top w:val="single" w:color="auto" w:sz="4" w:space="0"/>
              <w:left w:val="single" w:color="auto" w:sz="8" w:space="0"/>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3</w:t>
            </w:r>
          </w:p>
        </w:tc>
        <w:tc>
          <w:tcPr>
            <w:tcW w:w="3375" w:type="dxa"/>
            <w:tcBorders>
              <w:top w:val="single" w:color="auto" w:sz="4" w:space="0"/>
              <w:left w:val="single" w:color="auto" w:sz="8" w:space="0"/>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电路板</w:t>
            </w:r>
          </w:p>
        </w:tc>
        <w:tc>
          <w:tcPr>
            <w:tcW w:w="1934" w:type="dxa"/>
            <w:tcBorders>
              <w:top w:val="single" w:color="auto" w:sz="4" w:space="0"/>
              <w:left w:val="nil"/>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w:t>
            </w:r>
          </w:p>
        </w:tc>
        <w:tc>
          <w:tcPr>
            <w:tcW w:w="2943" w:type="dxa"/>
            <w:tcBorders>
              <w:top w:val="single" w:color="auto" w:sz="4" w:space="0"/>
              <w:left w:val="nil"/>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cs="仿宋_GB2312"/>
                <w:color w:val="auto"/>
                <w:sz w:val="24"/>
                <w:szCs w:val="24"/>
                <w:lang w:val="en-US" w:eastAsia="zh-CN"/>
              </w:rPr>
              <w:t>1</w:t>
            </w:r>
            <w:r>
              <w:rPr>
                <w:rFonts w:hint="eastAsia" w:ascii="仿宋_GB2312" w:hAnsi="仿宋_GB2312" w:eastAsia="仿宋_GB2312" w:cs="仿宋_GB2312"/>
                <w:color w:val="auto"/>
                <w:sz w:val="24"/>
                <w:szCs w:val="24"/>
              </w:rPr>
              <w:t>套</w:t>
            </w:r>
          </w:p>
        </w:tc>
      </w:tr>
      <w:tr>
        <w:tblPrEx>
          <w:tblCellMar>
            <w:top w:w="0" w:type="dxa"/>
            <w:left w:w="108" w:type="dxa"/>
            <w:bottom w:w="0" w:type="dxa"/>
            <w:right w:w="108" w:type="dxa"/>
          </w:tblCellMar>
        </w:tblPrEx>
        <w:trPr>
          <w:trHeight w:val="642" w:hRule="atLeast"/>
          <w:jc w:val="center"/>
        </w:trPr>
        <w:tc>
          <w:tcPr>
            <w:tcW w:w="719" w:type="dxa"/>
            <w:tcBorders>
              <w:top w:val="single" w:color="auto" w:sz="4" w:space="0"/>
              <w:left w:val="single" w:color="auto" w:sz="8" w:space="0"/>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4</w:t>
            </w:r>
          </w:p>
        </w:tc>
        <w:tc>
          <w:tcPr>
            <w:tcW w:w="3375" w:type="dxa"/>
            <w:tcBorders>
              <w:top w:val="single" w:color="auto" w:sz="4" w:space="0"/>
              <w:left w:val="single" w:color="auto" w:sz="8" w:space="0"/>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各类线束</w:t>
            </w:r>
          </w:p>
        </w:tc>
        <w:tc>
          <w:tcPr>
            <w:tcW w:w="1934" w:type="dxa"/>
            <w:tcBorders>
              <w:top w:val="single" w:color="auto" w:sz="4" w:space="0"/>
              <w:left w:val="nil"/>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w:t>
            </w:r>
          </w:p>
        </w:tc>
        <w:tc>
          <w:tcPr>
            <w:tcW w:w="2943" w:type="dxa"/>
            <w:tcBorders>
              <w:top w:val="single" w:color="auto" w:sz="4" w:space="0"/>
              <w:left w:val="nil"/>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若干</w:t>
            </w:r>
          </w:p>
        </w:tc>
      </w:tr>
      <w:tr>
        <w:tblPrEx>
          <w:tblCellMar>
            <w:top w:w="0" w:type="dxa"/>
            <w:left w:w="108" w:type="dxa"/>
            <w:bottom w:w="0" w:type="dxa"/>
            <w:right w:w="108" w:type="dxa"/>
          </w:tblCellMar>
        </w:tblPrEx>
        <w:trPr>
          <w:trHeight w:val="642" w:hRule="atLeast"/>
          <w:jc w:val="center"/>
        </w:trPr>
        <w:tc>
          <w:tcPr>
            <w:tcW w:w="719" w:type="dxa"/>
            <w:tcBorders>
              <w:top w:val="single" w:color="auto" w:sz="4" w:space="0"/>
              <w:left w:val="single" w:color="auto" w:sz="8" w:space="0"/>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5</w:t>
            </w:r>
          </w:p>
        </w:tc>
        <w:tc>
          <w:tcPr>
            <w:tcW w:w="3375" w:type="dxa"/>
            <w:tcBorders>
              <w:top w:val="single" w:color="auto" w:sz="4" w:space="0"/>
              <w:left w:val="single" w:color="auto" w:sz="8" w:space="0"/>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配套连接铜排，螺丝等一套</w:t>
            </w:r>
          </w:p>
        </w:tc>
        <w:tc>
          <w:tcPr>
            <w:tcW w:w="1934" w:type="dxa"/>
            <w:tcBorders>
              <w:top w:val="single" w:color="auto" w:sz="4" w:space="0"/>
              <w:left w:val="nil"/>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w:t>
            </w:r>
          </w:p>
        </w:tc>
        <w:tc>
          <w:tcPr>
            <w:tcW w:w="2943" w:type="dxa"/>
            <w:tcBorders>
              <w:top w:val="single" w:color="auto" w:sz="4" w:space="0"/>
              <w:left w:val="nil"/>
              <w:bottom w:val="single" w:color="auto" w:sz="4"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若干</w:t>
            </w:r>
          </w:p>
        </w:tc>
      </w:tr>
    </w:tbl>
    <w:p>
      <w:pPr>
        <w:keepNext w:val="0"/>
        <w:keepLines w:val="0"/>
        <w:pageBreakBefore w:val="0"/>
        <w:kinsoku/>
        <w:wordWrap/>
        <w:overflowPunct/>
        <w:topLinePunct w:val="0"/>
        <w:autoSpaceDE/>
        <w:autoSpaceDN/>
        <w:bidi w:val="0"/>
        <w:spacing w:line="580" w:lineRule="exact"/>
        <w:jc w:val="center"/>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spacing w:line="58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宝安区电池装配工项目选手自带工具、材料清单表</w:t>
      </w:r>
    </w:p>
    <w:p>
      <w:pPr>
        <w:pStyle w:val="2"/>
        <w:rPr>
          <w:rFonts w:hint="eastAsia"/>
        </w:rPr>
      </w:pPr>
    </w:p>
    <w:tbl>
      <w:tblPr>
        <w:tblStyle w:val="8"/>
        <w:tblW w:w="8879" w:type="dxa"/>
        <w:tblInd w:w="0" w:type="dxa"/>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Layout w:type="fixed"/>
        <w:tblCellMar>
          <w:top w:w="57" w:type="dxa"/>
          <w:left w:w="142" w:type="dxa"/>
          <w:bottom w:w="57" w:type="dxa"/>
          <w:right w:w="142" w:type="dxa"/>
        </w:tblCellMar>
      </w:tblPr>
      <w:tblGrid>
        <w:gridCol w:w="993"/>
        <w:gridCol w:w="2600"/>
        <w:gridCol w:w="2739"/>
        <w:gridCol w:w="2547"/>
      </w:tblGrid>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blHeader/>
        </w:trPr>
        <w:tc>
          <w:tcPr>
            <w:tcW w:w="993" w:type="dxa"/>
            <w:tcBorders>
              <w:top w:val="single" w:color="003764" w:sz="8" w:space="0"/>
              <w:left w:val="single" w:color="003764" w:sz="8" w:space="0"/>
              <w:bottom w:val="single" w:color="003764" w:sz="8" w:space="0"/>
              <w:right w:val="single" w:color="003764" w:sz="8" w:space="0"/>
            </w:tcBorders>
          </w:tcPr>
          <w:p>
            <w:pPr>
              <w:pStyle w:val="12"/>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caps/>
                <w:color w:val="auto"/>
                <w:sz w:val="24"/>
                <w:szCs w:val="24"/>
                <w:lang w:val="en-US"/>
              </w:rPr>
            </w:pPr>
            <w:r>
              <w:rPr>
                <w:rFonts w:hint="eastAsia" w:ascii="仿宋_GB2312" w:hAnsi="仿宋_GB2312" w:eastAsia="仿宋_GB2312" w:cs="仿宋_GB2312"/>
                <w:b/>
                <w:caps/>
                <w:color w:val="auto"/>
                <w:sz w:val="24"/>
                <w:szCs w:val="24"/>
                <w:lang w:val="en-US"/>
              </w:rPr>
              <w:t>序号</w:t>
            </w:r>
          </w:p>
        </w:tc>
        <w:tc>
          <w:tcPr>
            <w:tcW w:w="2600" w:type="dxa"/>
            <w:tcBorders>
              <w:top w:val="single" w:color="003764" w:sz="8" w:space="0"/>
              <w:left w:val="single" w:color="003764" w:sz="8" w:space="0"/>
              <w:bottom w:val="single" w:color="003764" w:sz="8" w:space="0"/>
              <w:right w:val="single" w:color="003764" w:sz="8" w:space="0"/>
            </w:tcBorders>
          </w:tcPr>
          <w:p>
            <w:pPr>
              <w:pStyle w:val="12"/>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caps/>
                <w:color w:val="auto"/>
                <w:sz w:val="24"/>
                <w:szCs w:val="24"/>
                <w:lang w:val="en-US"/>
              </w:rPr>
            </w:pPr>
            <w:r>
              <w:rPr>
                <w:rFonts w:hint="eastAsia" w:ascii="仿宋_GB2312" w:hAnsi="仿宋_GB2312" w:eastAsia="仿宋_GB2312" w:cs="仿宋_GB2312"/>
                <w:b/>
                <w:caps/>
                <w:color w:val="auto"/>
                <w:sz w:val="24"/>
                <w:szCs w:val="24"/>
                <w:lang w:val="en-US"/>
              </w:rPr>
              <w:t>名称</w:t>
            </w:r>
          </w:p>
        </w:tc>
        <w:tc>
          <w:tcPr>
            <w:tcW w:w="2739" w:type="dxa"/>
            <w:tcBorders>
              <w:top w:val="single" w:color="003764" w:sz="8" w:space="0"/>
              <w:left w:val="single" w:color="003764" w:sz="8" w:space="0"/>
              <w:bottom w:val="single" w:color="003764" w:sz="8" w:space="0"/>
              <w:right w:val="single" w:color="003764" w:sz="8" w:space="0"/>
            </w:tcBorders>
          </w:tcPr>
          <w:p>
            <w:pPr>
              <w:pStyle w:val="12"/>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caps/>
                <w:color w:val="auto"/>
                <w:sz w:val="24"/>
                <w:szCs w:val="24"/>
                <w:lang w:val="en-US" w:eastAsia="zh-CN"/>
              </w:rPr>
            </w:pPr>
            <w:r>
              <w:rPr>
                <w:rFonts w:hint="eastAsia" w:ascii="仿宋_GB2312" w:hAnsi="仿宋_GB2312" w:eastAsia="仿宋_GB2312" w:cs="仿宋_GB2312"/>
                <w:b/>
                <w:caps/>
                <w:color w:val="auto"/>
                <w:sz w:val="24"/>
                <w:szCs w:val="24"/>
                <w:lang w:val="en-US"/>
              </w:rPr>
              <w:t>数量</w:t>
            </w:r>
          </w:p>
        </w:tc>
        <w:tc>
          <w:tcPr>
            <w:tcW w:w="2547" w:type="dxa"/>
            <w:tcBorders>
              <w:top w:val="single" w:color="003764" w:sz="8" w:space="0"/>
              <w:left w:val="single" w:color="003764" w:sz="8" w:space="0"/>
              <w:bottom w:val="single" w:color="003764" w:sz="8" w:space="0"/>
              <w:right w:val="single" w:color="003764" w:sz="8" w:space="0"/>
            </w:tcBorders>
          </w:tcPr>
          <w:p>
            <w:pPr>
              <w:pStyle w:val="12"/>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b/>
                <w:caps/>
                <w:color w:val="auto"/>
                <w:sz w:val="24"/>
                <w:szCs w:val="24"/>
                <w:lang w:val="en-US" w:eastAsia="zh-CN"/>
              </w:rPr>
            </w:pPr>
            <w:r>
              <w:rPr>
                <w:rFonts w:hint="eastAsia" w:ascii="仿宋_GB2312" w:hAnsi="仿宋_GB2312" w:eastAsia="仿宋_GB2312" w:cs="仿宋_GB2312"/>
                <w:b/>
                <w:caps/>
                <w:color w:val="auto"/>
                <w:sz w:val="24"/>
                <w:szCs w:val="24"/>
                <w:lang w:val="en-US"/>
              </w:rPr>
              <w:t>技术规格</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81" w:hRule="atLeast"/>
        </w:trPr>
        <w:tc>
          <w:tcPr>
            <w:tcW w:w="993" w:type="dxa"/>
            <w:tcBorders>
              <w:top w:val="single" w:color="003764" w:sz="8" w:space="0"/>
              <w:left w:val="single" w:color="003764" w:sz="8" w:space="0"/>
              <w:bottom w:val="single" w:color="003764" w:sz="8" w:space="0"/>
              <w:right w:val="single" w:color="003764" w:sz="8" w:space="0"/>
            </w:tcBorders>
            <w:vAlign w:val="center"/>
          </w:tcPr>
          <w:p>
            <w:pPr>
              <w:pStyle w:val="16"/>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color w:val="auto"/>
                <w:sz w:val="24"/>
                <w:szCs w:val="24"/>
                <w:lang w:eastAsia="zh-TW"/>
              </w:rPr>
            </w:pPr>
            <w:r>
              <w:rPr>
                <w:rFonts w:hint="eastAsia" w:ascii="仿宋_GB2312" w:hAnsi="仿宋_GB2312" w:eastAsia="仿宋_GB2312" w:cs="仿宋_GB2312"/>
                <w:color w:val="auto"/>
                <w:sz w:val="24"/>
                <w:szCs w:val="24"/>
              </w:rPr>
              <w:t>1</w:t>
            </w:r>
          </w:p>
        </w:tc>
        <w:tc>
          <w:tcPr>
            <w:tcW w:w="2600" w:type="dxa"/>
            <w:tcBorders>
              <w:top w:val="single" w:color="003764" w:sz="8" w:space="0"/>
              <w:left w:val="single" w:color="003764" w:sz="8" w:space="0"/>
              <w:bottom w:val="single" w:color="003764" w:sz="8" w:space="0"/>
              <w:right w:val="single" w:color="003764" w:sz="8" w:space="0"/>
            </w:tcBorders>
            <w:vAlign w:val="center"/>
          </w:tcPr>
          <w:p>
            <w:pPr>
              <w:pStyle w:val="16"/>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绝缘鞋</w:t>
            </w:r>
          </w:p>
        </w:tc>
        <w:tc>
          <w:tcPr>
            <w:tcW w:w="2739" w:type="dxa"/>
            <w:tcBorders>
              <w:top w:val="single" w:color="003764" w:sz="8" w:space="0"/>
              <w:left w:val="single" w:color="003764" w:sz="8" w:space="0"/>
              <w:bottom w:val="single" w:color="003764" w:sz="8" w:space="0"/>
              <w:right w:val="single" w:color="003764" w:sz="8" w:space="0"/>
            </w:tcBorders>
            <w:vAlign w:val="center"/>
          </w:tcPr>
          <w:p>
            <w:pPr>
              <w:pStyle w:val="16"/>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双</w:t>
            </w:r>
          </w:p>
        </w:tc>
        <w:tc>
          <w:tcPr>
            <w:tcW w:w="2547" w:type="dxa"/>
            <w:tcBorders>
              <w:top w:val="single" w:color="003764" w:sz="8" w:space="0"/>
              <w:left w:val="single" w:color="003764" w:sz="8" w:space="0"/>
              <w:bottom w:val="single" w:color="003764" w:sz="8" w:space="0"/>
              <w:right w:val="single" w:color="003764" w:sz="8" w:space="0"/>
            </w:tcBorders>
            <w:vAlign w:val="center"/>
          </w:tcPr>
          <w:p>
            <w:pPr>
              <w:pStyle w:val="16"/>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按选手自身情况</w:t>
            </w:r>
          </w:p>
        </w:tc>
      </w:tr>
    </w:tbl>
    <w:p>
      <w:pPr>
        <w:pStyle w:val="6"/>
        <w:keepNext w:val="0"/>
        <w:keepLines w:val="0"/>
        <w:pageBreakBefore w:val="0"/>
        <w:kinsoku/>
        <w:wordWrap/>
        <w:overflowPunct/>
        <w:topLinePunct w:val="0"/>
        <w:autoSpaceDE/>
        <w:autoSpaceDN/>
        <w:bidi w:val="0"/>
        <w:spacing w:line="580" w:lineRule="exact"/>
        <w:ind w:firstLine="600" w:firstLineChars="200"/>
        <w:rPr>
          <w:rFonts w:ascii="Times New Roman" w:hAnsi="Times New Roman" w:eastAsia="黑体" w:cs="Times New Roman"/>
          <w:b w:val="0"/>
          <w:bCs/>
          <w:color w:val="auto"/>
          <w:sz w:val="32"/>
          <w:szCs w:val="32"/>
          <w:highlight w:val="none"/>
          <w:lang w:eastAsia="zh-CN"/>
        </w:rPr>
      </w:pPr>
      <w:r>
        <w:rPr>
          <w:rFonts w:ascii="Times New Roman" w:hAnsi="Times New Roman" w:eastAsia="黑体" w:cs="Times New Roman"/>
          <w:b w:val="0"/>
          <w:bCs/>
          <w:color w:val="auto"/>
          <w:sz w:val="32"/>
          <w:szCs w:val="32"/>
          <w:highlight w:val="none"/>
          <w:lang w:eastAsia="zh-CN"/>
        </w:rPr>
        <w:t>五、安全、健康要求</w:t>
      </w:r>
    </w:p>
    <w:p>
      <w:pPr>
        <w:keepNext w:val="0"/>
        <w:keepLines w:val="0"/>
        <w:pageBreakBefore w:val="0"/>
        <w:kinsoku/>
        <w:wordWrap/>
        <w:overflowPunct/>
        <w:topLinePunct w:val="0"/>
        <w:autoSpaceDE/>
        <w:autoSpaceDN/>
        <w:bidi w:val="0"/>
        <w:spacing w:line="580" w:lineRule="exact"/>
        <w:ind w:firstLine="642" w:firstLineChars="200"/>
        <w:rPr>
          <w:rFonts w:hint="eastAsia" w:ascii="Times New Roman" w:hAnsi="Times New Roman" w:eastAsia="楷体_GB2312" w:cs="Times New Roman"/>
          <w:b/>
          <w:bCs/>
          <w:color w:val="auto"/>
          <w:sz w:val="32"/>
          <w:szCs w:val="32"/>
          <w:highlight w:val="none"/>
        </w:rPr>
      </w:pPr>
      <w:r>
        <w:rPr>
          <w:rFonts w:hint="eastAsia" w:ascii="Times New Roman" w:hAnsi="Times New Roman" w:eastAsia="楷体_GB2312" w:cs="Times New Roman"/>
          <w:b/>
          <w:bCs/>
          <w:color w:val="auto"/>
          <w:sz w:val="32"/>
          <w:szCs w:val="32"/>
          <w:highlight w:val="none"/>
          <w:lang w:eastAsia="zh-CN"/>
        </w:rPr>
        <w:t>（</w:t>
      </w:r>
      <w:r>
        <w:rPr>
          <w:rFonts w:hint="eastAsia" w:ascii="Times New Roman" w:hAnsi="Times New Roman" w:eastAsia="楷体_GB2312" w:cs="Times New Roman"/>
          <w:b/>
          <w:bCs/>
          <w:color w:val="auto"/>
          <w:sz w:val="32"/>
          <w:szCs w:val="32"/>
          <w:highlight w:val="none"/>
          <w:lang w:val="en-US" w:eastAsia="zh-CN"/>
        </w:rPr>
        <w:t>一）</w:t>
      </w:r>
      <w:r>
        <w:rPr>
          <w:rFonts w:hint="eastAsia" w:ascii="Times New Roman" w:hAnsi="Times New Roman" w:eastAsia="楷体_GB2312" w:cs="Times New Roman"/>
          <w:b/>
          <w:bCs/>
          <w:color w:val="auto"/>
          <w:sz w:val="32"/>
          <w:szCs w:val="32"/>
          <w:highlight w:val="none"/>
        </w:rPr>
        <w:t>选手安全防护措施要求</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本次竞赛选手需自备绝缘鞋，</w:t>
      </w:r>
      <w:r>
        <w:rPr>
          <w:rFonts w:hint="eastAsia" w:ascii="仿宋_GB2312" w:hAnsi="仿宋_GB2312" w:cs="仿宋_GB2312"/>
          <w:color w:val="auto"/>
          <w:szCs w:val="32"/>
          <w:lang w:val="en-US" w:eastAsia="zh-CN"/>
        </w:rPr>
        <w:t>必须穿着</w:t>
      </w:r>
      <w:r>
        <w:rPr>
          <w:rFonts w:hint="eastAsia" w:ascii="仿宋_GB2312" w:hAnsi="仿宋_GB2312" w:eastAsia="仿宋_GB2312" w:cs="仿宋_GB2312"/>
          <w:color w:val="auto"/>
          <w:szCs w:val="32"/>
        </w:rPr>
        <w:t>紧身不松垮</w:t>
      </w:r>
      <w:r>
        <w:rPr>
          <w:rFonts w:hint="eastAsia" w:ascii="仿宋_GB2312" w:hAnsi="仿宋_GB2312" w:cs="仿宋_GB2312"/>
          <w:color w:val="auto"/>
          <w:szCs w:val="32"/>
          <w:lang w:eastAsia="zh-CN"/>
        </w:rPr>
        <w:t>的</w:t>
      </w:r>
      <w:r>
        <w:rPr>
          <w:rFonts w:hint="eastAsia" w:ascii="仿宋_GB2312" w:hAnsi="仿宋_GB2312" w:eastAsia="仿宋_GB2312" w:cs="仿宋_GB2312"/>
          <w:color w:val="auto"/>
          <w:szCs w:val="32"/>
        </w:rPr>
        <w:t>长裤防护服</w:t>
      </w:r>
      <w:r>
        <w:rPr>
          <w:rFonts w:hint="eastAsia" w:ascii="仿宋_GB2312" w:hAnsi="仿宋_GB2312" w:cs="仿宋_GB2312"/>
          <w:color w:val="auto"/>
          <w:szCs w:val="32"/>
          <w:lang w:eastAsia="zh-CN"/>
        </w:rPr>
        <w:t>且</w:t>
      </w:r>
      <w:r>
        <w:rPr>
          <w:rFonts w:hint="eastAsia" w:ascii="仿宋_GB2312" w:hAnsi="仿宋_GB2312" w:eastAsia="仿宋_GB2312" w:cs="仿宋_GB2312"/>
          <w:color w:val="auto"/>
          <w:szCs w:val="32"/>
        </w:rPr>
        <w:t>全程</w:t>
      </w:r>
      <w:r>
        <w:rPr>
          <w:rFonts w:hint="eastAsia" w:ascii="仿宋_GB2312" w:hAnsi="仿宋_GB2312" w:cs="仿宋_GB2312"/>
          <w:color w:val="auto"/>
          <w:szCs w:val="32"/>
          <w:lang w:eastAsia="zh-CN"/>
        </w:rPr>
        <w:t>佩戴安全帽。</w:t>
      </w:r>
      <w:r>
        <w:rPr>
          <w:rFonts w:hint="eastAsia" w:ascii="仿宋_GB2312" w:hAnsi="仿宋_GB2312" w:eastAsia="仿宋_GB2312" w:cs="仿宋_GB2312"/>
          <w:color w:val="auto"/>
          <w:szCs w:val="32"/>
        </w:rPr>
        <w:t>在</w:t>
      </w:r>
      <w:r>
        <w:rPr>
          <w:rFonts w:hint="eastAsia" w:ascii="仿宋_GB2312" w:hAnsi="仿宋_GB2312" w:cs="仿宋_GB2312"/>
          <w:color w:val="auto"/>
          <w:szCs w:val="32"/>
          <w:lang w:eastAsia="zh-CN"/>
        </w:rPr>
        <w:t>比</w:t>
      </w:r>
      <w:r>
        <w:rPr>
          <w:rFonts w:hint="eastAsia" w:ascii="仿宋_GB2312" w:hAnsi="仿宋_GB2312" w:eastAsia="仿宋_GB2312" w:cs="仿宋_GB2312"/>
          <w:color w:val="auto"/>
          <w:szCs w:val="32"/>
        </w:rPr>
        <w:t>赛过程中，参赛选手若有不服从裁判、扰乱赛场秩序等行为情节严重的，取消参赛选手当场竞赛成绩。有作弊行为的，取消比赛资格。</w:t>
      </w:r>
    </w:p>
    <w:p>
      <w:pPr>
        <w:keepNext w:val="0"/>
        <w:keepLines w:val="0"/>
        <w:pageBreakBefore w:val="0"/>
        <w:kinsoku/>
        <w:wordWrap/>
        <w:overflowPunct/>
        <w:topLinePunct w:val="0"/>
        <w:autoSpaceDE/>
        <w:autoSpaceDN/>
        <w:bidi w:val="0"/>
        <w:spacing w:line="580" w:lineRule="exact"/>
        <w:ind w:firstLine="642" w:firstLineChars="200"/>
        <w:rPr>
          <w:rFonts w:hint="eastAsia" w:ascii="Times New Roman" w:hAnsi="Times New Roman" w:eastAsia="楷体_GB2312" w:cs="Times New Roman"/>
          <w:b/>
          <w:bCs/>
          <w:color w:val="auto"/>
          <w:sz w:val="32"/>
          <w:szCs w:val="32"/>
          <w:highlight w:val="none"/>
          <w:lang w:val="en-US" w:eastAsia="zh-CN"/>
        </w:rPr>
      </w:pPr>
      <w:r>
        <w:rPr>
          <w:rFonts w:hint="eastAsia" w:ascii="Times New Roman" w:hAnsi="Times New Roman" w:eastAsia="楷体_GB2312" w:cs="Times New Roman"/>
          <w:b/>
          <w:bCs/>
          <w:color w:val="auto"/>
          <w:sz w:val="32"/>
          <w:szCs w:val="32"/>
          <w:highlight w:val="none"/>
          <w:lang w:val="en-US" w:eastAsia="zh-CN"/>
        </w:rPr>
        <w:t>（二）有毒有害物品的管理和限制</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选手禁止携带易燃易爆物品，包</w:t>
      </w:r>
      <w:r>
        <w:rPr>
          <w:rFonts w:hint="eastAsia" w:ascii="仿宋_GB2312" w:hAnsi="仿宋_GB2312" w:cs="仿宋_GB2312"/>
          <w:color w:val="auto"/>
          <w:szCs w:val="32"/>
          <w:lang w:eastAsia="zh-CN"/>
        </w:rPr>
        <w:t>括</w:t>
      </w:r>
      <w:r>
        <w:rPr>
          <w:rFonts w:hint="eastAsia" w:ascii="仿宋_GB2312" w:hAnsi="仿宋_GB2312" w:eastAsia="仿宋_GB2312" w:cs="仿宋_GB2312"/>
          <w:color w:val="auto"/>
          <w:szCs w:val="32"/>
        </w:rPr>
        <w:t>酒精、汽油及其他有毒物质，竞赛期间产生的废料必须分类收集和回收。</w:t>
      </w:r>
    </w:p>
    <w:p>
      <w:pPr>
        <w:keepNext w:val="0"/>
        <w:keepLines w:val="0"/>
        <w:pageBreakBefore w:val="0"/>
        <w:kinsoku/>
        <w:wordWrap/>
        <w:overflowPunct/>
        <w:topLinePunct w:val="0"/>
        <w:autoSpaceDE/>
        <w:autoSpaceDN/>
        <w:bidi w:val="0"/>
        <w:spacing w:line="580" w:lineRule="exact"/>
        <w:ind w:firstLine="642" w:firstLineChars="200"/>
        <w:rPr>
          <w:rFonts w:hint="eastAsia" w:ascii="Times New Roman" w:hAnsi="Times New Roman" w:eastAsia="楷体_GB2312" w:cs="Times New Roman"/>
          <w:b/>
          <w:bCs/>
          <w:color w:val="auto"/>
          <w:sz w:val="32"/>
          <w:szCs w:val="32"/>
          <w:highlight w:val="none"/>
          <w:lang w:val="en-US" w:eastAsia="zh-CN"/>
        </w:rPr>
      </w:pPr>
      <w:r>
        <w:rPr>
          <w:rFonts w:hint="eastAsia" w:ascii="Times New Roman" w:hAnsi="Times New Roman" w:eastAsia="楷体_GB2312" w:cs="Times New Roman"/>
          <w:b/>
          <w:bCs/>
          <w:color w:val="auto"/>
          <w:sz w:val="32"/>
          <w:szCs w:val="32"/>
          <w:highlight w:val="none"/>
          <w:lang w:val="en-US" w:eastAsia="zh-CN"/>
        </w:rPr>
        <w:t>（三）医疗设备和措施</w:t>
      </w:r>
    </w:p>
    <w:p>
      <w:pPr>
        <w:keepNext w:val="0"/>
        <w:keepLines w:val="0"/>
        <w:pageBreakBefore w:val="0"/>
        <w:kinsoku/>
        <w:wordWrap/>
        <w:overflowPunct/>
        <w:topLinePunct w:val="0"/>
        <w:autoSpaceDE/>
        <w:autoSpaceDN/>
        <w:bidi w:val="0"/>
        <w:spacing w:line="58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赛场配备医护人员</w:t>
      </w:r>
      <w:r>
        <w:rPr>
          <w:rFonts w:hint="eastAsia" w:ascii="仿宋_GB2312" w:hAnsi="仿宋_GB2312" w:cs="仿宋_GB2312"/>
          <w:color w:val="auto"/>
          <w:szCs w:val="32"/>
          <w:lang w:eastAsia="zh-CN"/>
        </w:rPr>
        <w:t>和必需的</w:t>
      </w:r>
      <w:r>
        <w:rPr>
          <w:rFonts w:hint="eastAsia" w:ascii="仿宋_GB2312" w:hAnsi="仿宋_GB2312" w:eastAsia="仿宋_GB2312" w:cs="仿宋_GB2312"/>
          <w:color w:val="auto"/>
          <w:szCs w:val="32"/>
        </w:rPr>
        <w:t>药品。比赛现场实行封闭式管理</w:t>
      </w:r>
      <w:r>
        <w:rPr>
          <w:rFonts w:hint="eastAsia" w:ascii="仿宋_GB2312" w:hAnsi="仿宋_GB2312" w:cs="仿宋_GB2312"/>
          <w:color w:val="auto"/>
          <w:szCs w:val="32"/>
          <w:lang w:eastAsia="zh-CN"/>
        </w:rPr>
        <w:t>，</w:t>
      </w:r>
      <w:r>
        <w:rPr>
          <w:rFonts w:hint="eastAsia" w:ascii="仿宋_GB2312" w:hAnsi="仿宋_GB2312" w:eastAsia="仿宋_GB2312" w:cs="仿宋_GB2312"/>
          <w:color w:val="auto"/>
          <w:szCs w:val="32"/>
        </w:rPr>
        <w:t>各领队、指导教师不得进入比赛现场。</w:t>
      </w:r>
    </w:p>
    <w:p>
      <w:pPr>
        <w:pStyle w:val="11"/>
        <w:keepNext w:val="0"/>
        <w:keepLines w:val="0"/>
        <w:pageBreakBefore w:val="0"/>
        <w:numPr>
          <w:ilvl w:val="0"/>
          <w:numId w:val="3"/>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rPr>
      </w:pPr>
      <w:r>
        <w:rPr>
          <w:rFonts w:hint="eastAsia" w:ascii="黑体" w:hAnsi="黑体" w:eastAsia="黑体" w:cs="黑体"/>
        </w:rPr>
        <w:t>本技术文件条款的最终解释权归</w:t>
      </w:r>
      <w:r>
        <w:rPr>
          <w:rFonts w:hint="eastAsia" w:ascii="黑体" w:hAnsi="黑体" w:eastAsia="黑体" w:cs="黑体"/>
          <w:lang w:val="en-US" w:eastAsia="zh-CN"/>
        </w:rPr>
        <w:t>宝安区</w:t>
      </w:r>
      <w:r>
        <w:rPr>
          <w:rFonts w:hint="eastAsia" w:ascii="黑体" w:hAnsi="黑体" w:eastAsia="黑体" w:cs="黑体"/>
        </w:rPr>
        <w:t>人力资源局所有。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Inria Serif">
    <w:altName w:val="C059"/>
    <w:panose1 w:val="00000000000000000000"/>
    <w:charset w:val="00"/>
    <w:family w:val="auto"/>
    <w:pitch w:val="default"/>
    <w:sig w:usb0="00000000" w:usb1="00000000" w:usb2="00000000" w:usb3="00000000" w:csb0="00000001" w:csb1="00000000"/>
  </w:font>
  <w:font w:name="Times New Roman (Headings CS)">
    <w:altName w:val="DejaVu Sans"/>
    <w:panose1 w:val="00000000000000000000"/>
    <w:charset w:val="00"/>
    <w:family w:val="roman"/>
    <w:pitch w:val="default"/>
    <w:sig w:usb0="00000000" w:usb1="00000000" w:usb2="00000000" w:usb3="00000000" w:csb0="00000001" w:csb1="00000000"/>
  </w:font>
  <w:font w:name="Frutiger LT Com 45 Light">
    <w:altName w:val="C059"/>
    <w:panose1 w:val="00000000000000000000"/>
    <w:charset w:val="00"/>
    <w:family w:val="swiss"/>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C059">
    <w:panose1 w:val="00000500000000000000"/>
    <w:charset w:val="00"/>
    <w:family w:val="auto"/>
    <w:pitch w:val="default"/>
    <w:sig w:usb0="00000287" w:usb1="00000800" w:usb2="00000000" w:usb3="00000000" w:csb0="6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4"/>
      <w:numFmt w:val="japaneseCounting"/>
      <w:pStyle w:val="13"/>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E095414"/>
    <w:multiLevelType w:val="singleLevel"/>
    <w:tmpl w:val="1E095414"/>
    <w:lvl w:ilvl="0" w:tentative="0">
      <w:start w:val="3"/>
      <w:numFmt w:val="chineseCounting"/>
      <w:suff w:val="nothing"/>
      <w:lvlText w:val="（%1）"/>
      <w:lvlJc w:val="left"/>
      <w:rPr>
        <w:rFonts w:hint="eastAsia"/>
      </w:rPr>
    </w:lvl>
  </w:abstractNum>
  <w:abstractNum w:abstractNumId="2">
    <w:nsid w:val="71B1EFA8"/>
    <w:multiLevelType w:val="singleLevel"/>
    <w:tmpl w:val="71B1EFA8"/>
    <w:lvl w:ilvl="0" w:tentative="0">
      <w:start w:val="6"/>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xN2FjZTlkYjlkYzkwYzUzZTI4YmZjNWI2NTE0YmQifQ=="/>
  </w:docVars>
  <w:rsids>
    <w:rsidRoot w:val="67763C6D"/>
    <w:rsid w:val="003E0E88"/>
    <w:rsid w:val="005D3596"/>
    <w:rsid w:val="031A5554"/>
    <w:rsid w:val="07B23486"/>
    <w:rsid w:val="0A304EB5"/>
    <w:rsid w:val="0A811068"/>
    <w:rsid w:val="0A894080"/>
    <w:rsid w:val="0FE708DB"/>
    <w:rsid w:val="10686DD7"/>
    <w:rsid w:val="108A6AFD"/>
    <w:rsid w:val="16B90005"/>
    <w:rsid w:val="19B80DD0"/>
    <w:rsid w:val="19CD0EB8"/>
    <w:rsid w:val="19DE0AF8"/>
    <w:rsid w:val="19F651BA"/>
    <w:rsid w:val="1A15027E"/>
    <w:rsid w:val="1B3B75FE"/>
    <w:rsid w:val="1D7A1474"/>
    <w:rsid w:val="1DC63384"/>
    <w:rsid w:val="21CC3D6A"/>
    <w:rsid w:val="228201CD"/>
    <w:rsid w:val="228D0920"/>
    <w:rsid w:val="23333275"/>
    <w:rsid w:val="2526531C"/>
    <w:rsid w:val="26975667"/>
    <w:rsid w:val="26FE22C7"/>
    <w:rsid w:val="299332F5"/>
    <w:rsid w:val="2A9747C3"/>
    <w:rsid w:val="2B6A3EF4"/>
    <w:rsid w:val="2C413FCE"/>
    <w:rsid w:val="325E4D56"/>
    <w:rsid w:val="33FBB4C4"/>
    <w:rsid w:val="3AE06296"/>
    <w:rsid w:val="3B3F134A"/>
    <w:rsid w:val="3C6A00F9"/>
    <w:rsid w:val="3DB11AD4"/>
    <w:rsid w:val="3DEB8868"/>
    <w:rsid w:val="3FCE8028"/>
    <w:rsid w:val="40607D04"/>
    <w:rsid w:val="42273AF9"/>
    <w:rsid w:val="427C7112"/>
    <w:rsid w:val="43792ACE"/>
    <w:rsid w:val="46FD3331"/>
    <w:rsid w:val="471B2CCB"/>
    <w:rsid w:val="475C073D"/>
    <w:rsid w:val="4B1100D7"/>
    <w:rsid w:val="4B405810"/>
    <w:rsid w:val="4B762D32"/>
    <w:rsid w:val="4BD26E4A"/>
    <w:rsid w:val="4C9100BB"/>
    <w:rsid w:val="4D5E7188"/>
    <w:rsid w:val="4DFC5AB2"/>
    <w:rsid w:val="4FDFC4B8"/>
    <w:rsid w:val="4FF260E2"/>
    <w:rsid w:val="52281609"/>
    <w:rsid w:val="52776D92"/>
    <w:rsid w:val="55C26E72"/>
    <w:rsid w:val="579D2DD8"/>
    <w:rsid w:val="593E0F15"/>
    <w:rsid w:val="595079D6"/>
    <w:rsid w:val="59787311"/>
    <w:rsid w:val="5ABB4C30"/>
    <w:rsid w:val="5DCE13D2"/>
    <w:rsid w:val="5E487B9C"/>
    <w:rsid w:val="5EA6775E"/>
    <w:rsid w:val="5FE94095"/>
    <w:rsid w:val="632334FE"/>
    <w:rsid w:val="63267BA3"/>
    <w:rsid w:val="633441A2"/>
    <w:rsid w:val="6490638B"/>
    <w:rsid w:val="65C747F6"/>
    <w:rsid w:val="666D0E73"/>
    <w:rsid w:val="6712451C"/>
    <w:rsid w:val="67763C6D"/>
    <w:rsid w:val="6B8005EE"/>
    <w:rsid w:val="6BE7E610"/>
    <w:rsid w:val="6D522BFD"/>
    <w:rsid w:val="6F87F5AC"/>
    <w:rsid w:val="6F92269E"/>
    <w:rsid w:val="6FFF4818"/>
    <w:rsid w:val="7003622B"/>
    <w:rsid w:val="71661198"/>
    <w:rsid w:val="71F66BDB"/>
    <w:rsid w:val="729B3B13"/>
    <w:rsid w:val="73A730BB"/>
    <w:rsid w:val="746E1871"/>
    <w:rsid w:val="758F276A"/>
    <w:rsid w:val="786120EF"/>
    <w:rsid w:val="7BAE0225"/>
    <w:rsid w:val="7BF62EE7"/>
    <w:rsid w:val="7C5D9DD6"/>
    <w:rsid w:val="7DDF8D8A"/>
    <w:rsid w:val="7EC77601"/>
    <w:rsid w:val="7F998D1F"/>
    <w:rsid w:val="7FBB623C"/>
    <w:rsid w:val="7FBD301B"/>
    <w:rsid w:val="7FF7070A"/>
    <w:rsid w:val="7FFB39C6"/>
    <w:rsid w:val="8ED3AC85"/>
    <w:rsid w:val="97D8C4E6"/>
    <w:rsid w:val="A3F6C37B"/>
    <w:rsid w:val="A6D34C24"/>
    <w:rsid w:val="B3F9A14F"/>
    <w:rsid w:val="B4ADB9FF"/>
    <w:rsid w:val="B89F7F18"/>
    <w:rsid w:val="BF7D79B4"/>
    <w:rsid w:val="BFB99F32"/>
    <w:rsid w:val="BFC74E63"/>
    <w:rsid w:val="BFCFD8AA"/>
    <w:rsid w:val="CEBE0E84"/>
    <w:rsid w:val="DE718473"/>
    <w:rsid w:val="DECB24AA"/>
    <w:rsid w:val="DEFF8C48"/>
    <w:rsid w:val="E35DCDD4"/>
    <w:rsid w:val="E4BDCB63"/>
    <w:rsid w:val="E7EB94AC"/>
    <w:rsid w:val="EBBD33AC"/>
    <w:rsid w:val="ECF7464F"/>
    <w:rsid w:val="EDFD80F0"/>
    <w:rsid w:val="EEFB42FE"/>
    <w:rsid w:val="EFB79673"/>
    <w:rsid w:val="EFF6B580"/>
    <w:rsid w:val="EFFD56E1"/>
    <w:rsid w:val="F35E4DD8"/>
    <w:rsid w:val="F7F52B1E"/>
    <w:rsid w:val="FBFF70D8"/>
    <w:rsid w:val="FDB6782A"/>
    <w:rsid w:val="FDDF1F7E"/>
    <w:rsid w:val="FE5DB90D"/>
    <w:rsid w:val="FF959281"/>
    <w:rsid w:val="FFABF176"/>
    <w:rsid w:val="FFDF7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szCs w:val="20"/>
    </w:rPr>
  </w:style>
  <w:style w:type="paragraph" w:styleId="3">
    <w:name w:val="index 8"/>
    <w:basedOn w:val="1"/>
    <w:next w:val="1"/>
    <w:qFormat/>
    <w:uiPriority w:val="0"/>
    <w:pPr>
      <w:ind w:left="1400" w:leftChars="1400"/>
    </w:pPr>
  </w:style>
  <w:style w:type="paragraph" w:styleId="4">
    <w:name w:val="Body Text"/>
    <w:basedOn w:val="1"/>
    <w:qFormat/>
    <w:uiPriority w:val="0"/>
    <w:rPr>
      <w:rFonts w:ascii="仿宋_GB2312" w:hAnsi="Calibri" w:eastAsia="仿宋_GB2312" w:cs="Times New Roman"/>
      <w:sz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Title"/>
    <w:basedOn w:val="1"/>
    <w:next w:val="1"/>
    <w:qFormat/>
    <w:uiPriority w:val="0"/>
    <w:pPr>
      <w:widowControl/>
      <w:spacing w:line="560" w:lineRule="exact"/>
      <w:contextualSpacing/>
    </w:pPr>
    <w:rPr>
      <w:rFonts w:ascii="Inria Serif" w:hAnsi="Inria Serif" w:eastAsia="宋体" w:cs="Times New Roman (Headings CS)"/>
      <w:b/>
      <w:color w:val="0084AD"/>
      <w:spacing w:val="-10"/>
      <w:kern w:val="28"/>
      <w:sz w:val="50"/>
      <w:szCs w:val="56"/>
      <w:lang w:val="en-AU" w:eastAsia="en-US"/>
    </w:rPr>
  </w:style>
  <w:style w:type="paragraph" w:styleId="7">
    <w:name w:val="Body Text First Indent"/>
    <w:basedOn w:val="4"/>
    <w:qFormat/>
    <w:uiPriority w:val="0"/>
    <w:pPr>
      <w:spacing w:line="560" w:lineRule="exact"/>
      <w:ind w:firstLine="721" w:firstLineChars="200"/>
    </w:pPr>
    <w:rPr>
      <w:rFonts w:ascii="Calibri"/>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_Style 1"/>
    <w:basedOn w:val="1"/>
    <w:next w:val="1"/>
    <w:qFormat/>
    <w:uiPriority w:val="99"/>
    <w:pPr>
      <w:spacing w:line="580" w:lineRule="exact"/>
      <w:ind w:firstLine="420" w:firstLineChars="200"/>
    </w:pPr>
    <w:rPr>
      <w:rFonts w:ascii="Calibri" w:hAnsi="Calibri" w:eastAsia="宋体" w:cs="Times New Roman"/>
      <w:sz w:val="32"/>
    </w:rPr>
  </w:style>
  <w:style w:type="paragraph" w:customStyle="1" w:styleId="12">
    <w:name w:val="Editable table text"/>
    <w:basedOn w:val="1"/>
    <w:qFormat/>
    <w:uiPriority w:val="0"/>
    <w:pPr>
      <w:widowControl/>
    </w:pPr>
    <w:rPr>
      <w:rFonts w:ascii="Frutiger LT Com 45 Light" w:hAnsi="Frutiger LT Com 45 Light" w:eastAsia="宋体" w:cs="Times New Roman"/>
      <w:color w:val="62B5E5"/>
      <w:kern w:val="0"/>
      <w:sz w:val="20"/>
      <w:lang w:val="en-GB" w:eastAsia="en-US"/>
    </w:rPr>
  </w:style>
  <w:style w:type="paragraph" w:customStyle="1" w:styleId="13">
    <w:name w:val="Table Bullet"/>
    <w:basedOn w:val="1"/>
    <w:qFormat/>
    <w:uiPriority w:val="0"/>
    <w:pPr>
      <w:widowControl/>
      <w:numPr>
        <w:ilvl w:val="0"/>
        <w:numId w:val="1"/>
      </w:numPr>
      <w:spacing w:after="120"/>
      <w:ind w:left="284" w:hanging="284"/>
      <w:contextualSpacing/>
    </w:pPr>
    <w:rPr>
      <w:rFonts w:ascii="Frutiger LT Com 45 Light" w:hAnsi="Frutiger LT Com 45 Light" w:eastAsia="宋体" w:cs="Times New Roman"/>
      <w:kern w:val="0"/>
      <w:sz w:val="20"/>
      <w:szCs w:val="22"/>
      <w:lang w:val="en-GB" w:eastAsia="en-US"/>
    </w:rPr>
  </w:style>
  <w:style w:type="character" w:customStyle="1" w:styleId="14">
    <w:name w:val="Editable"/>
    <w:qFormat/>
    <w:uiPriority w:val="0"/>
    <w:rPr>
      <w:rFonts w:hint="default" w:ascii="Times New Roman" w:hAnsi="Times New Roman" w:eastAsia="宋体" w:cs="Times New Roman"/>
      <w:color w:val="62B5E5"/>
    </w:rPr>
  </w:style>
  <w:style w:type="paragraph" w:customStyle="1" w:styleId="15">
    <w:name w:val="Footer"/>
    <w:basedOn w:val="1"/>
    <w:qFormat/>
    <w:uiPriority w:val="0"/>
    <w:pPr>
      <w:tabs>
        <w:tab w:val="center" w:pos="4153"/>
        <w:tab w:val="right" w:pos="8306"/>
      </w:tabs>
      <w:snapToGrid w:val="0"/>
      <w:jc w:val="left"/>
    </w:pPr>
    <w:rPr>
      <w:rFonts w:ascii="Times New Roman" w:hAnsi="Times New Roman" w:cs="Times New Roman"/>
      <w:sz w:val="18"/>
      <w:szCs w:val="18"/>
    </w:rPr>
  </w:style>
  <w:style w:type="paragraph" w:customStyle="1" w:styleId="16">
    <w:name w:val="表格2-表内正文"/>
    <w:basedOn w:val="1"/>
    <w:qFormat/>
    <w:uiPriority w:val="0"/>
    <w:pPr>
      <w:spacing w:line="400" w:lineRule="exact"/>
      <w:jc w:val="center"/>
    </w:pPr>
    <w:rPr>
      <w:rFonts w:eastAsia="仿宋"/>
      <w:sz w:val="24"/>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4260</Words>
  <Characters>4440</Characters>
  <Lines>0</Lines>
  <Paragraphs>0</Paragraphs>
  <TotalTime>2</TotalTime>
  <ScaleCrop>false</ScaleCrop>
  <LinksUpToDate>false</LinksUpToDate>
  <CharactersWithSpaces>4454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2023-04-22T22:15:00Z</dcterms:created>
  <dc:creator>ᴬⁿᵈ&amp;ᵃⁿᴰ⁸</dc:creator>
  <cp:lastModifiedBy>职业能力建设科</cp:lastModifiedBy>
  <dcterms:modified xsi:type="dcterms:W3CDTF">2024-09-04T14:58:38Z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3C2D762D1F3848F1A80D6F757C9294B0_11</vt:lpwstr>
  </property>
</Properties>
</file>