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  <w:t>贝克∙麦坚时专家介绍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Arial Regular" w:hAnsi="Arial Regular" w:eastAsia="仿宋_GB2312" w:cs="Arial Regular"/>
          <w:sz w:val="32"/>
          <w:szCs w:val="32"/>
        </w:rPr>
      </w:pPr>
      <w:r>
        <w:rPr>
          <w:rFonts w:hint="default" w:ascii="Arial Regular" w:hAnsi="Arial Regular" w:eastAsia="仿宋_GB2312" w:cs="Arial Regular"/>
          <w:sz w:val="32"/>
          <w:szCs w:val="32"/>
        </w:rPr>
        <w:t>Márton Horányi博士，</w:t>
      </w:r>
      <w:r>
        <w:rPr>
          <w:rFonts w:hint="eastAsia" w:ascii="Arial Regular" w:hAnsi="Arial Regular" w:eastAsia="仿宋_GB2312" w:cs="Arial Regular"/>
          <w:sz w:val="32"/>
          <w:szCs w:val="32"/>
        </w:rPr>
        <w:t>贝克∙麦坚时</w:t>
      </w:r>
      <w:r>
        <w:rPr>
          <w:rFonts w:hint="default" w:ascii="Arial Regular" w:hAnsi="Arial Regular" w:eastAsia="仿宋_GB2312" w:cs="Arial Regular"/>
          <w:sz w:val="32"/>
          <w:szCs w:val="32"/>
        </w:rPr>
        <w:t>匈牙利律师事务所资深合伙人，以及反垄断与竞争法业务负责人。拥有超过20年丰富的反垄断、竞争法、国家援助、不公平商业行为、消费者保护和欧洲法执业经验。曾就任于四大会计师事务所反垄断与竞争组的主管，并曾领导一家精品律师事务所的本地竞争业务。现亦任教于匈牙利顶尖大学，帕兹马尼彼得大学竞争法教授，积极参与各类研讨会，并常在知名法律期刊发表文章，精通英语、德语和匈牙利语。</w:t>
      </w:r>
    </w:p>
    <w:p>
      <w:pPr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Arial Regular" w:hAnsi="Arial Regular" w:eastAsia="楷体_GB2312" w:cs="Arial Regular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  <w:t>贝克∙麦坚时律所及布达佩斯办公室介绍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Arial Regular" w:hAnsi="Arial Regular" w:eastAsia="楷体_GB2312" w:cs="Arial Regular"/>
          <w:b/>
          <w:bCs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Arial Regular" w:hAnsi="Arial Regular" w:eastAsia="仿宋_GB2312" w:cs="Arial Regular"/>
          <w:sz w:val="32"/>
          <w:szCs w:val="32"/>
        </w:rPr>
      </w:pPr>
      <w:r>
        <w:rPr>
          <w:rFonts w:hint="eastAsia" w:ascii="Arial Regular" w:hAnsi="Arial Regular" w:eastAsia="仿宋_GB2312" w:cs="Arial Regular"/>
          <w:sz w:val="32"/>
          <w:szCs w:val="32"/>
        </w:rPr>
        <w:t>贝克∙麦坚时</w:t>
      </w:r>
      <w:r>
        <w:rPr>
          <w:rFonts w:hint="default" w:ascii="Arial Regular" w:hAnsi="Arial Regular" w:eastAsia="仿宋_GB2312" w:cs="Arial Regular"/>
          <w:sz w:val="32"/>
          <w:szCs w:val="32"/>
        </w:rPr>
        <w:t>，自1949年起作为全球领先的国际律师事务所，凭借其全球40多个国家的网络和13,000余名法律专家，专业解决跨国界的复杂法律问题，提供卓越的法律服务。并连续13年被评为“全球最强律师事务所品牌”以及连续16年荣获“全球第一跨境并购交易律师事务所”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Arial Regular" w:hAnsi="Arial Regular" w:eastAsia="仿宋_GB2312" w:cs="Arial Regular"/>
          <w:b/>
          <w:bCs/>
          <w:sz w:val="32"/>
          <w:szCs w:val="32"/>
        </w:rPr>
      </w:pPr>
      <w:r>
        <w:rPr>
          <w:rFonts w:hint="eastAsia" w:ascii="Arial Regular" w:hAnsi="Arial Regular" w:eastAsia="仿宋_GB2312" w:cs="Arial Regular"/>
          <w:sz w:val="32"/>
          <w:szCs w:val="32"/>
        </w:rPr>
        <w:t>贝克∙麦坚时</w:t>
      </w:r>
      <w:r>
        <w:rPr>
          <w:rFonts w:hint="default" w:ascii="Arial Regular" w:hAnsi="Arial Regular" w:eastAsia="仿宋_GB2312" w:cs="Arial Regular"/>
          <w:sz w:val="32"/>
          <w:szCs w:val="32"/>
        </w:rPr>
        <w:t>布达佩斯办公室，自1987年成立以来，已成为匈牙利法律服务领域的佼佼者。凭借对本土市场的深刻理解和</w:t>
      </w:r>
      <w:r>
        <w:rPr>
          <w:rFonts w:hint="eastAsia" w:ascii="Arial Regular" w:hAnsi="Arial Regular" w:eastAsia="仿宋_GB2312" w:cs="Arial Regular"/>
          <w:sz w:val="32"/>
          <w:szCs w:val="32"/>
        </w:rPr>
        <w:t>贝克∙麦坚时</w:t>
      </w:r>
      <w:r>
        <w:rPr>
          <w:rFonts w:hint="default" w:ascii="Arial Regular" w:hAnsi="Arial Regular" w:eastAsia="仿宋_GB2312" w:cs="Arial Regular"/>
          <w:sz w:val="32"/>
          <w:szCs w:val="32"/>
        </w:rPr>
        <w:t>全球网络的强大支持，以及匈牙利在欧盟的战略位置，该办公室在数字化转型、能源转型和战略交易等关键领域提供卓越的法律服务。在外资企业进军欧洲市场的征途中，特别是</w:t>
      </w:r>
      <w:r>
        <w:rPr>
          <w:rFonts w:hint="default" w:ascii="Arial Regular" w:hAnsi="Arial Regular" w:eastAsia="楷体_GB2312" w:cs="Arial Regular"/>
          <w:b/>
          <w:bCs/>
          <w:sz w:val="32"/>
          <w:szCs w:val="32"/>
        </w:rPr>
        <w:t>在绿地投资、企业并购以及面对反垄断和反补贴调查时，布达佩斯办公室运用其丰富的专业经验和敏锐的市场洞察，为跨国企业提供了精确的法律指导和战略性咨询服务。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对不同区域与市场的律师事务所进行排名的著名刊物《钱伯斯欧洲》亦称赞</w:t>
      </w:r>
      <w:r>
        <w:rPr>
          <w:rFonts w:hint="eastAsia" w:ascii="Arial Regular" w:hAnsi="Arial Regular" w:eastAsia="仿宋_GB2312" w:cs="Arial Regular"/>
          <w:sz w:val="32"/>
          <w:szCs w:val="32"/>
        </w:rPr>
        <w:t>贝克∙麦坚时</w:t>
      </w:r>
      <w:r>
        <w:rPr>
          <w:rFonts w:hint="eastAsia" w:ascii="仿宋_GB2312" w:hAnsi="仿宋_GB2312" w:eastAsia="仿宋_GB2312" w:cs="仿宋_GB2312"/>
          <w:sz w:val="32"/>
          <w:szCs w:val="32"/>
        </w:rPr>
        <w:t>（匈牙利）律师事务所：“这家著名律师事务所在众多领域，从企业，并购，雇佣，反垄断与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反</w:t>
      </w:r>
      <w:r>
        <w:rPr>
          <w:rFonts w:hint="eastAsia" w:ascii="仿宋_GB2312" w:hAnsi="仿宋_GB2312" w:eastAsia="仿宋_GB2312" w:cs="仿宋_GB2312"/>
          <w:sz w:val="32"/>
          <w:szCs w:val="32"/>
        </w:rPr>
        <w:t>不正当竞争，乃至生命科学与私募股权等都保持着市场领先的声誉，得益于在匈牙利市场的长久深耕，凭借令人赞叹的国际网络和令人艳羡的客户名册，赢得了卓著声誉。”</w:t>
      </w:r>
    </w:p>
    <w:p>
      <w:pPr/>
    </w:p>
    <w:sectPr>
      <w:footerReference r:id="rId3" w:type="default"/>
      <w:pgSz w:w="11906" w:h="16838"/>
      <w:pgMar w:top="2098" w:right="1474" w:bottom="1984" w:left="1587" w:header="1020" w:footer="10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方正书宋_GBK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523</Characters>
  <Lines>0</Lines>
  <Paragraphs>0</Paragraphs>
  <ScaleCrop>false</ScaleCrop>
  <LinksUpToDate>false</LinksUpToDate>
  <CharactersWithSpaces>523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2024-07-31T02:36:00Z</dcterms:created>
  <dc:creator>民营及中小企业服务部</dc:creator>
  <cp:lastModifiedBy>iPhone 11 Pro Max</cp:lastModifiedBy>
  <dcterms:modified xsi:type="dcterms:W3CDTF">2024-08-02T19:11:06Z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2052-12.15.1</vt:lpwstr>
  </property>
  <property fmtid="{D5CDD505-2E9C-101B-9397-08002B2CF9AE}" pid="3" name="ICV">
    <vt:lpwstr>52D4073C4125440894FA814F240AB292_12</vt:lpwstr>
  </property>
</Properties>
</file>