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3138E">
      <w:pPr>
        <w:snapToGrid w:val="0"/>
        <w:spacing w:line="580" w:lineRule="exact"/>
        <w:rPr>
          <w:rFonts w:ascii="黑体" w:hAnsi="黑体" w:eastAsia="黑体"/>
          <w:kern w:val="0"/>
          <w:sz w:val="32"/>
          <w:szCs w:val="32"/>
        </w:rPr>
      </w:pPr>
      <w:r>
        <w:rPr>
          <w:rFonts w:hint="eastAsia" w:ascii="黑体" w:hAnsi="黑体" w:eastAsia="黑体"/>
          <w:kern w:val="0"/>
          <w:sz w:val="32"/>
          <w:szCs w:val="32"/>
        </w:rPr>
        <w:t>附件</w:t>
      </w:r>
      <w:r>
        <w:rPr>
          <w:rFonts w:ascii="黑体" w:hAnsi="黑体" w:eastAsia="黑体"/>
          <w:kern w:val="0"/>
          <w:sz w:val="32"/>
          <w:szCs w:val="32"/>
        </w:rPr>
        <w:t>1</w:t>
      </w:r>
    </w:p>
    <w:p w14:paraId="2EBE51BF">
      <w:pPr>
        <w:pStyle w:val="4"/>
        <w:spacing w:line="580" w:lineRule="exact"/>
        <w:jc w:val="center"/>
        <w:rPr>
          <w:rFonts w:hint="default" w:ascii="青鸟华光简小标宋" w:hAnsi="青鸟华光简小标宋" w:eastAsia="青鸟华光简小标宋" w:cs="青鸟华光简小标宋"/>
          <w:b w:val="0"/>
          <w:sz w:val="44"/>
          <w:szCs w:val="44"/>
        </w:rPr>
      </w:pPr>
      <w:bookmarkStart w:id="0" w:name="_Toc941316881_WPSOffice_Level1"/>
      <w:bookmarkStart w:id="1" w:name="_Toc610355172"/>
    </w:p>
    <w:p w14:paraId="608A78A0">
      <w:pPr>
        <w:pStyle w:val="4"/>
        <w:spacing w:line="580" w:lineRule="exact"/>
        <w:jc w:val="center"/>
        <w:rPr>
          <w:rFonts w:hint="default" w:ascii="青鸟华光简小标宋" w:hAnsi="青鸟华光简小标宋" w:eastAsia="青鸟华光简小标宋" w:cs="青鸟华光简小标宋"/>
          <w:b w:val="0"/>
          <w:sz w:val="44"/>
          <w:szCs w:val="44"/>
        </w:rPr>
      </w:pPr>
      <w:r>
        <w:rPr>
          <w:rFonts w:ascii="青鸟华光简小标宋" w:hAnsi="青鸟华光简小标宋" w:eastAsia="青鸟华光简小标宋" w:cs="青鸟华光简小标宋"/>
          <w:b w:val="0"/>
          <w:kern w:val="44"/>
          <w:sz w:val="44"/>
          <w:szCs w:val="44"/>
        </w:rPr>
        <w:t>危险性较大的分部分项工程范围</w:t>
      </w:r>
      <w:bookmarkEnd w:id="0"/>
      <w:bookmarkEnd w:id="1"/>
    </w:p>
    <w:p w14:paraId="188BAE13">
      <w:pPr>
        <w:pStyle w:val="2"/>
        <w:adjustRightInd w:val="0"/>
        <w:snapToGrid w:val="0"/>
        <w:spacing w:line="580" w:lineRule="exact"/>
        <w:ind w:firstLine="0" w:firstLineChars="0"/>
        <w:rPr>
          <w:sz w:val="32"/>
          <w:szCs w:val="32"/>
        </w:rPr>
      </w:pPr>
    </w:p>
    <w:p w14:paraId="0045EC5F">
      <w:pPr>
        <w:pStyle w:val="13"/>
        <w:snapToGrid w:val="0"/>
        <w:spacing w:line="580" w:lineRule="exact"/>
        <w:ind w:firstLine="640" w:firstLineChars="200"/>
        <w:rPr>
          <w:rFonts w:ascii="黑体" w:hAnsi="黑体" w:eastAsia="黑体" w:cs="黑体"/>
          <w:sz w:val="32"/>
          <w:szCs w:val="32"/>
        </w:rPr>
      </w:pPr>
      <w:r>
        <w:rPr>
          <w:rFonts w:hint="eastAsia" w:ascii="黑体" w:hAnsi="黑体" w:eastAsia="黑体" w:cs="黑体"/>
          <w:color w:val="000000"/>
          <w:kern w:val="0"/>
          <w:sz w:val="32"/>
          <w:szCs w:val="32"/>
        </w:rPr>
        <w:t>一、基坑工程</w:t>
      </w:r>
    </w:p>
    <w:p w14:paraId="150E3C34">
      <w:pPr>
        <w:pStyle w:val="13"/>
        <w:snapToGrid w:val="0"/>
        <w:spacing w:line="580" w:lineRule="exact"/>
        <w:jc w:val="both"/>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（一）开挖深度超过</w:t>
      </w:r>
      <w:r>
        <w:rPr>
          <w:rFonts w:ascii="仿宋_GB2312" w:hAnsi="仿宋_GB2312" w:eastAsia="仿宋_GB2312" w:cs="仿宋_GB2312"/>
          <w:color w:val="000000"/>
          <w:kern w:val="0"/>
          <w:sz w:val="32"/>
          <w:szCs w:val="32"/>
        </w:rPr>
        <w:t>3m（含3m）的基坑（槽）的土方开挖、支护、降水工程。</w:t>
      </w:r>
    </w:p>
    <w:p w14:paraId="5825867B">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（二）开挖深度虽未超过</w:t>
      </w:r>
      <w:r>
        <w:rPr>
          <w:rFonts w:ascii="仿宋_GB2312" w:hAnsi="仿宋_GB2312" w:eastAsia="仿宋_GB2312" w:cs="仿宋_GB2312"/>
          <w:color w:val="000000"/>
          <w:kern w:val="0"/>
          <w:sz w:val="32"/>
          <w:szCs w:val="32"/>
        </w:rPr>
        <w:t>3m，但地质条件、周围环境和地下管线复杂，或影响毗邻建（构）筑物安全的基坑（槽）的土方开挖、支护、降水工程。</w:t>
      </w:r>
    </w:p>
    <w:p w14:paraId="1201331E">
      <w:pPr>
        <w:pStyle w:val="13"/>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二、模板工程及支撑体系</w:t>
      </w:r>
    </w:p>
    <w:p w14:paraId="6DFAC174">
      <w:pPr>
        <w:pStyle w:val="13"/>
        <w:snapToGrid w:val="0"/>
        <w:spacing w:line="580" w:lineRule="exact"/>
        <w:jc w:val="both"/>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（一）各类工具式模板工程：包括滑模、爬模、飞模、隧道模等工程。</w:t>
      </w:r>
    </w:p>
    <w:p w14:paraId="54FA2D48">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（二）混凝土模板支撑工程：搭设高度</w:t>
      </w:r>
      <w:r>
        <w:rPr>
          <w:rFonts w:ascii="仿宋_GB2312" w:hAnsi="仿宋_GB2312" w:eastAsia="仿宋_GB2312" w:cs="仿宋_GB2312"/>
          <w:color w:val="000000"/>
          <w:kern w:val="0"/>
          <w:sz w:val="32"/>
          <w:szCs w:val="32"/>
        </w:rPr>
        <w:t>5m及以上，或搭设跨度10m及以上，或施工总荷载（荷载效应基本组合的设计值，以下简称设计值）10kN/m</w:t>
      </w:r>
      <w:r>
        <w:rPr>
          <w:rFonts w:ascii="仿宋_GB2312" w:hAnsi="仿宋_GB2312" w:eastAsia="仿宋_GB2312" w:cs="仿宋_GB2312"/>
          <w:color w:val="000000"/>
          <w:kern w:val="0"/>
          <w:sz w:val="32"/>
          <w:szCs w:val="32"/>
          <w:vertAlign w:val="superscript"/>
        </w:rPr>
        <w:t>2</w:t>
      </w:r>
      <w:r>
        <w:rPr>
          <w:rFonts w:hint="eastAsia" w:ascii="仿宋_GB2312" w:hAnsi="仿宋_GB2312" w:eastAsia="仿宋_GB2312" w:cs="仿宋_GB2312"/>
          <w:color w:val="000000"/>
          <w:kern w:val="0"/>
          <w:sz w:val="32"/>
          <w:szCs w:val="32"/>
        </w:rPr>
        <w:t>及以上，或集中线荷载（设计值）</w:t>
      </w:r>
      <w:r>
        <w:rPr>
          <w:rFonts w:ascii="仿宋_GB2312" w:hAnsi="仿宋_GB2312" w:eastAsia="仿宋_GB2312" w:cs="仿宋_GB2312"/>
          <w:color w:val="000000"/>
          <w:kern w:val="0"/>
          <w:sz w:val="32"/>
          <w:szCs w:val="32"/>
        </w:rPr>
        <w:t>15kN/m及以上，或高度大于支撑水平投影宽度且相对独立无联系构件的混凝土模板支撑工程。</w:t>
      </w:r>
    </w:p>
    <w:p w14:paraId="16E3BC02">
      <w:pPr>
        <w:pStyle w:val="13"/>
        <w:snapToGrid w:val="0"/>
        <w:spacing w:line="580" w:lineRule="exact"/>
        <w:jc w:val="both"/>
        <w:rPr>
          <w:rFonts w:ascii="仿宋" w:hAnsi="仿宋" w:eastAsia="仿宋" w:cs="仿宋"/>
          <w:sz w:val="32"/>
          <w:szCs w:val="32"/>
        </w:rPr>
      </w:pPr>
      <w:r>
        <w:rPr>
          <w:rFonts w:hint="eastAsia" w:ascii="仿宋_GB2312" w:hAnsi="仿宋_GB2312" w:eastAsia="仿宋_GB2312" w:cs="仿宋_GB2312"/>
          <w:color w:val="000000"/>
          <w:kern w:val="0"/>
          <w:sz w:val="32"/>
          <w:szCs w:val="32"/>
        </w:rPr>
        <w:t>　　（三）承重支撑体系：用于钢结构安装等满堂支撑体系。</w:t>
      </w:r>
    </w:p>
    <w:p w14:paraId="2AC5BE62">
      <w:pPr>
        <w:pStyle w:val="13"/>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三、起重吊装及起重机械安装拆卸工程</w:t>
      </w:r>
    </w:p>
    <w:p w14:paraId="727F4B73">
      <w:pPr>
        <w:pStyle w:val="13"/>
        <w:snapToGrid w:val="0"/>
        <w:spacing w:line="580" w:lineRule="exact"/>
        <w:jc w:val="both"/>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（一）采用非常规起重设备、方法，且单件起吊重量在</w:t>
      </w:r>
      <w:r>
        <w:rPr>
          <w:rFonts w:ascii="仿宋_GB2312" w:hAnsi="仿宋_GB2312" w:eastAsia="仿宋_GB2312" w:cs="仿宋_GB2312"/>
          <w:color w:val="000000"/>
          <w:kern w:val="0"/>
          <w:sz w:val="32"/>
          <w:szCs w:val="32"/>
        </w:rPr>
        <w:t>10kN及以上的起重吊装工程。</w:t>
      </w:r>
    </w:p>
    <w:p w14:paraId="1E9DD2DB">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（二）采用起重机械进行安装的工程。</w:t>
      </w:r>
    </w:p>
    <w:p w14:paraId="7416B038">
      <w:pPr>
        <w:pStyle w:val="13"/>
        <w:snapToGrid w:val="0"/>
        <w:spacing w:line="58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（三）起重机械安装和拆卸工程。</w:t>
      </w:r>
    </w:p>
    <w:p w14:paraId="4D1EB9F9">
      <w:pPr>
        <w:pStyle w:val="13"/>
        <w:snapToGrid w:val="0"/>
        <w:spacing w:line="580" w:lineRule="exact"/>
        <w:ind w:firstLine="640"/>
        <w:jc w:val="both"/>
        <w:rPr>
          <w:rFonts w:ascii="仿宋_GB2312" w:hAnsi="仿宋_GB2312" w:eastAsia="仿宋_GB2312" w:cs="仿宋_GB2312"/>
          <w:b w:val="0"/>
          <w:bCs w:val="0"/>
          <w:color w:val="FF0000"/>
          <w:sz w:val="32"/>
          <w:szCs w:val="32"/>
        </w:rPr>
      </w:pPr>
      <w:r>
        <w:rPr>
          <w:rFonts w:hint="eastAsia" w:ascii="仿宋_GB2312" w:hAnsi="仿宋_GB2312" w:eastAsia="仿宋_GB2312" w:cs="仿宋_GB2312"/>
          <w:color w:val="000000"/>
          <w:kern w:val="0"/>
          <w:sz w:val="32"/>
          <w:szCs w:val="32"/>
        </w:rPr>
        <w:t>（四）起重机械的基础和附着工程。</w:t>
      </w:r>
    </w:p>
    <w:p w14:paraId="7603D853">
      <w:pPr>
        <w:pStyle w:val="13"/>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四、脚手架工程</w:t>
      </w:r>
    </w:p>
    <w:p w14:paraId="27FE6C35">
      <w:pPr>
        <w:pStyle w:val="13"/>
        <w:snapToGrid w:val="0"/>
        <w:spacing w:line="580" w:lineRule="exact"/>
        <w:jc w:val="both"/>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（一）搭设高度</w:t>
      </w:r>
      <w:r>
        <w:rPr>
          <w:rFonts w:ascii="仿宋_GB2312" w:hAnsi="仿宋_GB2312" w:eastAsia="仿宋_GB2312" w:cs="仿宋_GB2312"/>
          <w:color w:val="000000"/>
          <w:kern w:val="0"/>
          <w:sz w:val="32"/>
          <w:szCs w:val="32"/>
        </w:rPr>
        <w:t>24m及以上的落地式钢管脚手架工程（包括采光井、电梯井脚手架）。</w:t>
      </w:r>
    </w:p>
    <w:p w14:paraId="715E1EDF">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（二）附着式升降脚手架工程。</w:t>
      </w:r>
    </w:p>
    <w:p w14:paraId="5E12E8D6">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（三）悬挑式脚手架工程。</w:t>
      </w:r>
    </w:p>
    <w:p w14:paraId="472D92C9">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（四）高处作业吊篮。</w:t>
      </w:r>
    </w:p>
    <w:p w14:paraId="3AA97EAB">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（五）卸料平台、操作平台工程。</w:t>
      </w:r>
    </w:p>
    <w:p w14:paraId="35E23BBB">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（六）异型脚手架工程。</w:t>
      </w:r>
    </w:p>
    <w:p w14:paraId="1BA87685">
      <w:pPr>
        <w:pStyle w:val="13"/>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五、拆除工程</w:t>
      </w:r>
    </w:p>
    <w:p w14:paraId="619765DF">
      <w:pPr>
        <w:pStyle w:val="13"/>
        <w:snapToGrid w:val="0"/>
        <w:spacing w:line="580" w:lineRule="exact"/>
        <w:jc w:val="both"/>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可能影响行人、交通、电力设施、通讯设施或其它建（构）筑物安全的拆除工程。</w:t>
      </w:r>
    </w:p>
    <w:p w14:paraId="6E230F0E">
      <w:pPr>
        <w:pStyle w:val="13"/>
        <w:snapToGrid w:val="0"/>
        <w:spacing w:line="580" w:lineRule="exact"/>
        <w:rPr>
          <w:rFonts w:ascii="黑体" w:hAnsi="黑体" w:eastAsia="黑体" w:cs="黑体"/>
          <w:sz w:val="32"/>
          <w:szCs w:val="32"/>
        </w:rPr>
      </w:pPr>
      <w:r>
        <w:rPr>
          <w:rFonts w:hint="eastAsia" w:ascii="黑体" w:hAnsi="黑体" w:eastAsia="黑体" w:cs="黑体"/>
          <w:color w:val="000000"/>
          <w:kern w:val="0"/>
          <w:sz w:val="32"/>
          <w:szCs w:val="32"/>
        </w:rPr>
        <w:t>　　六、暗挖工程</w:t>
      </w:r>
    </w:p>
    <w:p w14:paraId="3012EEBB">
      <w:pPr>
        <w:pStyle w:val="13"/>
        <w:snapToGrid w:val="0"/>
        <w:spacing w:line="580" w:lineRule="exact"/>
        <w:jc w:val="both"/>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采用矿山法、盾构法、顶管法施工的隧道、洞室等</w:t>
      </w:r>
      <w:r>
        <w:rPr>
          <w:rFonts w:hint="eastAsia" w:ascii="仿宋_GB2312" w:hAnsi="仿宋_GB2312" w:eastAsia="仿宋_GB2312" w:cs="仿宋_GB2312"/>
          <w:kern w:val="0"/>
          <w:sz w:val="32"/>
          <w:szCs w:val="32"/>
        </w:rPr>
        <w:t>工程</w:t>
      </w:r>
      <w:r>
        <w:rPr>
          <w:rFonts w:hint="eastAsia" w:ascii="仿宋_GB2312" w:hAnsi="仿宋_GB2312" w:eastAsia="仿宋_GB2312" w:cs="仿宋_GB2312"/>
          <w:color w:val="000000"/>
          <w:kern w:val="0"/>
          <w:sz w:val="32"/>
          <w:szCs w:val="32"/>
        </w:rPr>
        <w:t>。</w:t>
      </w:r>
    </w:p>
    <w:p w14:paraId="7BAAE1F6">
      <w:pPr>
        <w:pStyle w:val="13"/>
        <w:numPr>
          <w:ilvl w:val="0"/>
          <w:numId w:val="1"/>
        </w:numPr>
        <w:snapToGrid w:val="0"/>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kern w:val="0"/>
          <w:sz w:val="32"/>
          <w:szCs w:val="32"/>
        </w:rPr>
        <w:t>结建式人防工程</w:t>
      </w:r>
    </w:p>
    <w:p w14:paraId="16914F9B">
      <w:pPr>
        <w:pStyle w:val="13"/>
        <w:snapToGrid w:val="0"/>
        <w:spacing w:line="58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kern w:val="0"/>
          <w:sz w:val="32"/>
          <w:szCs w:val="32"/>
        </w:rPr>
        <w:t xml:space="preserve">    结构工程的模板工程（支撑）;孔口防护工程的门框墙制作（门框采用起重机械进行吊装）、防护门（防护密闭门、密闭门）吊装。</w:t>
      </w:r>
    </w:p>
    <w:p w14:paraId="6746D998">
      <w:pPr>
        <w:pStyle w:val="13"/>
        <w:snapToGrid w:val="0"/>
        <w:spacing w:line="580" w:lineRule="exact"/>
        <w:ind w:firstLine="640" w:firstLineChars="200"/>
        <w:rPr>
          <w:rFonts w:ascii="黑体" w:hAnsi="黑体" w:eastAsia="黑体" w:cs="黑体"/>
          <w:sz w:val="32"/>
          <w:szCs w:val="32"/>
        </w:rPr>
      </w:pPr>
      <w:r>
        <w:rPr>
          <w:rFonts w:hint="eastAsia" w:ascii="黑体" w:hAnsi="黑体" w:eastAsia="黑体" w:cs="黑体"/>
          <w:color w:val="000000"/>
          <w:kern w:val="0"/>
          <w:sz w:val="32"/>
          <w:szCs w:val="32"/>
        </w:rPr>
        <w:t>八、其它</w:t>
      </w:r>
    </w:p>
    <w:p w14:paraId="44CF5FE3">
      <w:pPr>
        <w:pStyle w:val="13"/>
        <w:snapToGrid w:val="0"/>
        <w:spacing w:line="580" w:lineRule="exact"/>
        <w:jc w:val="both"/>
        <w:rPr>
          <w:rFonts w:ascii="仿宋_GB2312" w:hAnsi="仿宋_GB2312" w:eastAsia="仿宋_GB2312" w:cs="仿宋_GB2312"/>
          <w:sz w:val="32"/>
          <w:szCs w:val="32"/>
        </w:rPr>
      </w:pPr>
      <w:r>
        <w:rPr>
          <w:rFonts w:hint="eastAsia" w:ascii="仿宋" w:hAnsi="仿宋" w:eastAsia="仿宋" w:cs="仿宋"/>
          <w:color w:val="000000"/>
          <w:kern w:val="0"/>
          <w:sz w:val="32"/>
          <w:szCs w:val="32"/>
        </w:rPr>
        <w:t>　　</w:t>
      </w:r>
      <w:r>
        <w:rPr>
          <w:rFonts w:hint="eastAsia" w:ascii="仿宋_GB2312" w:hAnsi="仿宋_GB2312" w:eastAsia="仿宋_GB2312" w:cs="仿宋_GB2312"/>
          <w:color w:val="000000"/>
          <w:kern w:val="0"/>
          <w:sz w:val="32"/>
          <w:szCs w:val="32"/>
        </w:rPr>
        <w:t>（一）建筑幕墙安装工程。</w:t>
      </w:r>
    </w:p>
    <w:p w14:paraId="7D1DAFF2">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（二）钢结构、网架和索膜结构安装工程。</w:t>
      </w:r>
    </w:p>
    <w:p w14:paraId="65AB4077">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（三）人工挖孔桩工程。</w:t>
      </w:r>
    </w:p>
    <w:p w14:paraId="1554B844">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（四）水下作业工程。</w:t>
      </w:r>
    </w:p>
    <w:p w14:paraId="3CBD1424">
      <w:pPr>
        <w:pStyle w:val="13"/>
        <w:snapToGrid w:val="0"/>
        <w:spacing w:line="580" w:lineRule="exact"/>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（五）装配式建筑混凝土预制构件安装工程。</w:t>
      </w:r>
    </w:p>
    <w:p w14:paraId="3FF00184">
      <w:pPr>
        <w:pStyle w:val="13"/>
        <w:snapToGrid w:val="0"/>
        <w:spacing w:line="58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（六）采用新技术、新工艺、新材料、新设备可能影响工程施工安全，尚无国家、行业及地方技术标准的分部分项工程。</w:t>
      </w:r>
    </w:p>
    <w:p w14:paraId="263BCEF0">
      <w:pPr>
        <w:pStyle w:val="13"/>
        <w:snapToGrid w:val="0"/>
        <w:spacing w:line="58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（七）建设、勘察、设计、施工、监理单位三方以上共同认定或建设主管部门及其委托的安全监督机构认定为危险性较大的分部分项工程。</w:t>
      </w:r>
    </w:p>
    <w:p w14:paraId="7B7AD583">
      <w:pPr>
        <w:pStyle w:val="3"/>
        <w:snapToGrid w:val="0"/>
      </w:pPr>
      <w:bookmarkStart w:id="2" w:name="_GoBack"/>
      <w:bookmarkEnd w:id="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0000000000000000000"/>
    <w:charset w:val="86"/>
    <w:family w:val="auto"/>
    <w:pitch w:val="default"/>
    <w:sig w:usb0="00000000" w:usb1="00000000" w:usb2="00000010"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青鸟华光简小标宋">
    <w:altName w:val="宋体"/>
    <w:panose1 w:val="02010604000101010101"/>
    <w:charset w:val="86"/>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宋体 ，Arial">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3959950"/>
      <w:docPartObj>
        <w:docPartGallery w:val="autotext"/>
      </w:docPartObj>
    </w:sdtPr>
    <w:sdtContent>
      <w:p w14:paraId="77E6839B">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7"/>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JiMDliYWUwMGI3ZjUyN2MyZTEwMTg5MTVjYmVlOGYifQ=="/>
    <w:docVar w:name="KSO_WPS_MARK_KEY" w:val="c4260b9a-6184-41ca-b5c6-3f95af40558b"/>
  </w:docVars>
  <w:rsids>
    <w:rsidRoot w:val="2A880700"/>
    <w:rsid w:val="002B0C9F"/>
    <w:rsid w:val="00593CC6"/>
    <w:rsid w:val="188B4CAF"/>
    <w:rsid w:val="2A880700"/>
    <w:rsid w:val="4D2E1915"/>
    <w:rsid w:val="5066213E"/>
    <w:rsid w:val="5FF56E55"/>
    <w:rsid w:val="7FFC25C7"/>
    <w:rsid w:val="F79946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adjustRightInd w:val="0"/>
      <w:snapToGrid w:val="0"/>
      <w:spacing w:line="560" w:lineRule="exact"/>
      <w:jc w:val="left"/>
      <w:outlineLvl w:val="0"/>
    </w:pPr>
    <w:rPr>
      <w:rFonts w:hint="eastAsia" w:ascii="宋体" w:hAnsi="宋体" w:eastAsia="CESI仿宋-GB2312" w:cs="Times New Roman"/>
      <w:b/>
      <w:kern w:val="44"/>
      <w:sz w:val="32"/>
      <w:szCs w:val="4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3"/>
    <w:unhideWhenUsed/>
    <w:qFormat/>
    <w:uiPriority w:val="99"/>
    <w:pPr>
      <w:ind w:firstLine="420" w:firstLineChars="100"/>
    </w:pPr>
    <w:rPr>
      <w:sz w:val="21"/>
      <w:szCs w:val="24"/>
    </w:rPr>
  </w:style>
  <w:style w:type="paragraph" w:styleId="3">
    <w:name w:val="Body Text"/>
    <w:basedOn w:val="1"/>
    <w:next w:val="1"/>
    <w:qFormat/>
    <w:uiPriority w:val="0"/>
    <w:pPr>
      <w:jc w:val="center"/>
    </w:pPr>
    <w:rPr>
      <w:rFonts w:ascii="Times New Roman" w:hAnsi="Times New Roman" w:eastAsia="黑体" w:cs="Times New Roman"/>
      <w:sz w:val="44"/>
      <w:szCs w:val="20"/>
    </w:rPr>
  </w:style>
  <w:style w:type="paragraph" w:styleId="5">
    <w:name w:val="Plain Text"/>
    <w:basedOn w:val="1"/>
    <w:qFormat/>
    <w:uiPriority w:val="0"/>
    <w:rPr>
      <w:rFonts w:ascii="宋体" w:cs="Courier New"/>
      <w:szCs w:val="21"/>
    </w:rPr>
  </w:style>
  <w:style w:type="paragraph" w:styleId="6">
    <w:name w:val="Balloon Text"/>
    <w:basedOn w:val="1"/>
    <w:link w:val="15"/>
    <w:uiPriority w:val="0"/>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sz w:val="18"/>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paragraph" w:customStyle="1" w:styleId="13">
    <w:name w:val="普通(网站)1"/>
    <w:basedOn w:val="1"/>
    <w:qFormat/>
    <w:uiPriority w:val="0"/>
    <w:pPr>
      <w:jc w:val="left"/>
    </w:pPr>
    <w:rPr>
      <w:rFonts w:ascii="Times New Roman" w:hAnsi="Times New Roman" w:eastAsia="宋体" w:cs="Times New Roman"/>
      <w:kern w:val="0"/>
      <w:sz w:val="24"/>
    </w:rPr>
  </w:style>
  <w:style w:type="paragraph" w:customStyle="1" w:styleId="14">
    <w:name w:val="BZWFS"/>
    <w:qFormat/>
    <w:uiPriority w:val="0"/>
    <w:pPr>
      <w:widowControl w:val="0"/>
      <w:spacing w:line="560" w:lineRule="exact"/>
      <w:ind w:firstLine="880" w:firstLineChars="200"/>
      <w:jc w:val="both"/>
    </w:pPr>
    <w:rPr>
      <w:rFonts w:ascii="仿宋_GB2312" w:hAnsi="仿宋_GB2312" w:eastAsia="仿宋_GB2312" w:cs="Times New Roman"/>
      <w:sz w:val="32"/>
      <w:szCs w:val="32"/>
      <w:lang w:val="en-US" w:eastAsia="zh-CN" w:bidi="ar-SA"/>
    </w:rPr>
  </w:style>
  <w:style w:type="character" w:customStyle="1" w:styleId="15">
    <w:name w:val="批注框文本 Char"/>
    <w:basedOn w:val="11"/>
    <w:link w:val="6"/>
    <w:qFormat/>
    <w:uiPriority w:val="0"/>
    <w:rPr>
      <w:kern w:val="2"/>
      <w:sz w:val="18"/>
      <w:szCs w:val="18"/>
    </w:rPr>
  </w:style>
  <w:style w:type="character" w:customStyle="1" w:styleId="16">
    <w:name w:val="页脚 Char"/>
    <w:basedOn w:val="11"/>
    <w:link w:val="7"/>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26300</Words>
  <Characters>28713</Characters>
  <Lines>54</Lines>
  <Paragraphs>65</Paragraphs>
  <TotalTime>0</TotalTime>
  <ScaleCrop>false</ScaleCrop>
  <LinksUpToDate>false</LinksUpToDate>
  <CharactersWithSpaces>29144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2023-02-15T03:26:00Z</dcterms:created>
  <dc:creator>哦豁</dc:creator>
  <cp:lastModifiedBy>思聪丷</cp:lastModifiedBy>
  <dcterms:modified xsi:type="dcterms:W3CDTF">2024-09-18T08:35:09Z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E2ECF4E2865546A18EFC351CBEB03507</vt:lpwstr>
  </property>
</Properties>
</file>