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DBB91A">
      <w:pPr>
        <w:snapToGrid w:val="0"/>
        <w:jc w:val="left"/>
        <w:rPr>
          <w:rFonts w:hint="eastAsia" w:ascii="黑体" w:hAnsi="黑体" w:eastAsia="黑体"/>
          <w:kern w:val="0"/>
          <w:sz w:val="32"/>
          <w:szCs w:val="32"/>
        </w:rPr>
      </w:pPr>
      <w:r>
        <w:rPr>
          <w:rFonts w:hint="eastAsia" w:ascii="黑体" w:hAnsi="黑体" w:eastAsia="黑体"/>
          <w:b w:val="0"/>
          <w:kern w:val="0"/>
          <w:sz w:val="32"/>
          <w:szCs w:val="32"/>
        </w:rPr>
        <w:t>附件</w:t>
      </w:r>
      <w:r>
        <w:rPr>
          <w:rFonts w:ascii="黑体" w:hAnsi="黑体" w:eastAsia="黑体"/>
          <w:b w:val="0"/>
          <w:kern w:val="0"/>
          <w:sz w:val="32"/>
          <w:szCs w:val="32"/>
        </w:rPr>
        <w:t>9</w:t>
      </w:r>
    </w:p>
    <w:p w14:paraId="3FAFB23E">
      <w:pPr>
        <w:pStyle w:val="2"/>
        <w:ind w:firstLine="210"/>
      </w:pPr>
    </w:p>
    <w:p w14:paraId="222E1DD7">
      <w:pPr>
        <w:pStyle w:val="4"/>
        <w:spacing w:line="240" w:lineRule="auto"/>
        <w:jc w:val="center"/>
        <w:rPr>
          <w:rFonts w:hint="default" w:ascii="青鸟华光简小标宋" w:hAnsi="青鸟华光简小标宋" w:eastAsia="青鸟华光简小标宋" w:cs="青鸟华光简小标宋"/>
          <w:b w:val="0"/>
          <w:bCs w:val="0"/>
          <w:sz w:val="44"/>
          <w:szCs w:val="44"/>
        </w:rPr>
      </w:pPr>
      <w:bookmarkStart w:id="0" w:name="_Toc1031918533"/>
      <w:r>
        <w:rPr>
          <w:rFonts w:ascii="青鸟华光简小标宋" w:hAnsi="青鸟华光简小标宋" w:eastAsia="青鸟华光简小标宋" w:cs="青鸟华光简小标宋"/>
          <w:b w:val="0"/>
          <w:kern w:val="44"/>
          <w:sz w:val="44"/>
          <w:szCs w:val="44"/>
        </w:rPr>
        <w:t>强化红色警示惩戒措施清单</w:t>
      </w:r>
      <w:bookmarkEnd w:id="0"/>
    </w:p>
    <w:tbl>
      <w:tblPr>
        <w:tblStyle w:val="7"/>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8"/>
        <w:gridCol w:w="3675"/>
        <w:gridCol w:w="8118"/>
        <w:gridCol w:w="1630"/>
      </w:tblGrid>
      <w:tr w14:paraId="2AF95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264" w:type="pct"/>
            <w:vAlign w:val="center"/>
          </w:tcPr>
          <w:p w14:paraId="7C2A0280">
            <w:pPr>
              <w:pStyle w:val="5"/>
              <w:snapToGrid w:val="0"/>
              <w:jc w:val="center"/>
              <w:rPr>
                <w:rFonts w:hAnsi="宋体" w:cs="宋体"/>
                <w:b w:val="0"/>
                <w:bCs w:val="0"/>
              </w:rPr>
            </w:pPr>
            <w:r>
              <w:rPr>
                <w:rFonts w:hint="eastAsia" w:ascii="宋体" w:hAnsi="宋体" w:cs="宋体" w:eastAsiaTheme="minorEastAsia"/>
                <w:b w:val="0"/>
                <w:bCs w:val="0"/>
                <w:szCs w:val="21"/>
              </w:rPr>
              <w:t>序号</w:t>
            </w:r>
          </w:p>
        </w:tc>
        <w:tc>
          <w:tcPr>
            <w:tcW w:w="1296" w:type="pct"/>
            <w:vAlign w:val="center"/>
          </w:tcPr>
          <w:p w14:paraId="628A720E">
            <w:pPr>
              <w:pStyle w:val="5"/>
              <w:snapToGrid w:val="0"/>
              <w:jc w:val="center"/>
              <w:rPr>
                <w:rFonts w:hAnsi="宋体" w:cs="宋体"/>
                <w:b w:val="0"/>
                <w:bCs w:val="0"/>
              </w:rPr>
            </w:pPr>
            <w:r>
              <w:rPr>
                <w:rFonts w:hint="eastAsia" w:ascii="宋体" w:hAnsi="宋体" w:cs="宋体" w:eastAsiaTheme="minorEastAsia"/>
                <w:b w:val="0"/>
                <w:bCs w:val="0"/>
                <w:szCs w:val="21"/>
              </w:rPr>
              <w:t>禁止行为</w:t>
            </w:r>
          </w:p>
        </w:tc>
        <w:tc>
          <w:tcPr>
            <w:tcW w:w="2863" w:type="pct"/>
            <w:vAlign w:val="center"/>
          </w:tcPr>
          <w:p w14:paraId="23572D68">
            <w:pPr>
              <w:pStyle w:val="5"/>
              <w:snapToGrid w:val="0"/>
              <w:jc w:val="center"/>
              <w:rPr>
                <w:rFonts w:hAnsi="宋体" w:cs="宋体"/>
                <w:b w:val="0"/>
                <w:bCs w:val="0"/>
              </w:rPr>
            </w:pPr>
            <w:r>
              <w:rPr>
                <w:rFonts w:hint="eastAsia" w:ascii="宋体" w:hAnsi="宋体" w:cs="宋体" w:eastAsiaTheme="minorEastAsia"/>
                <w:b w:val="0"/>
                <w:bCs w:val="0"/>
                <w:szCs w:val="21"/>
              </w:rPr>
              <w:t>问题情形</w:t>
            </w:r>
          </w:p>
        </w:tc>
        <w:tc>
          <w:tcPr>
            <w:tcW w:w="575" w:type="pct"/>
            <w:vAlign w:val="center"/>
          </w:tcPr>
          <w:p w14:paraId="2DA17C7C">
            <w:pPr>
              <w:pStyle w:val="5"/>
              <w:snapToGrid w:val="0"/>
              <w:jc w:val="center"/>
              <w:rPr>
                <w:rFonts w:hAnsi="宋体" w:cs="宋体"/>
                <w:b w:val="0"/>
                <w:bCs w:val="0"/>
              </w:rPr>
            </w:pPr>
            <w:r>
              <w:rPr>
                <w:rFonts w:hint="eastAsia" w:ascii="宋体" w:hAnsi="宋体" w:cs="宋体" w:eastAsiaTheme="minorEastAsia"/>
                <w:b w:val="0"/>
                <w:bCs w:val="0"/>
                <w:szCs w:val="21"/>
              </w:rPr>
              <w:t>惩戒措施</w:t>
            </w:r>
          </w:p>
        </w:tc>
      </w:tr>
      <w:tr w14:paraId="6CACC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264" w:type="pct"/>
            <w:vAlign w:val="center"/>
          </w:tcPr>
          <w:p w14:paraId="08C35E06">
            <w:pPr>
              <w:pStyle w:val="5"/>
              <w:snapToGrid w:val="0"/>
              <w:jc w:val="center"/>
              <w:rPr>
                <w:rFonts w:hAnsi="宋体" w:cs="宋体"/>
              </w:rPr>
            </w:pPr>
            <w:r>
              <w:rPr>
                <w:rFonts w:hint="eastAsia" w:ascii="宋体" w:hAnsi="宋体" w:cs="宋体" w:eastAsiaTheme="minorEastAsia"/>
                <w:b w:val="0"/>
                <w:szCs w:val="21"/>
              </w:rPr>
              <w:t>一</w:t>
            </w:r>
          </w:p>
        </w:tc>
        <w:tc>
          <w:tcPr>
            <w:tcW w:w="1296" w:type="pct"/>
            <w:vAlign w:val="center"/>
          </w:tcPr>
          <w:p w14:paraId="09A42AE8">
            <w:pPr>
              <w:pStyle w:val="5"/>
              <w:snapToGrid w:val="0"/>
              <w:rPr>
                <w:rFonts w:hAnsi="宋体" w:cs="宋体"/>
              </w:rPr>
            </w:pPr>
            <w:r>
              <w:rPr>
                <w:rFonts w:hint="eastAsia" w:ascii="宋体" w:cs="Courier New" w:hAnsiTheme="minorHAnsi" w:eastAsiaTheme="minorEastAsia"/>
                <w:b w:val="0"/>
                <w:szCs w:val="21"/>
              </w:rPr>
              <w:t>严禁未取得安全生产许可证从事施工活动</w:t>
            </w:r>
          </w:p>
        </w:tc>
        <w:tc>
          <w:tcPr>
            <w:tcW w:w="2863" w:type="pct"/>
            <w:vAlign w:val="center"/>
          </w:tcPr>
          <w:p w14:paraId="773A7508">
            <w:pPr>
              <w:pStyle w:val="5"/>
              <w:snapToGrid w:val="0"/>
              <w:jc w:val="left"/>
              <w:rPr>
                <w:rFonts w:hAnsi="宋体" w:cs="宋体"/>
              </w:rPr>
            </w:pPr>
            <w:r>
              <w:rPr>
                <w:rFonts w:hint="eastAsia" w:ascii="宋体" w:cs="Courier New" w:hAnsiTheme="minorHAnsi" w:eastAsiaTheme="minorEastAsia"/>
                <w:b w:val="0"/>
                <w:szCs w:val="21"/>
              </w:rPr>
              <w:t>未取得建筑施工企业安全生产许可证从事建筑施工活动的，包括承接专业承包工程、分包工程以及劳务分包工程。</w:t>
            </w:r>
          </w:p>
        </w:tc>
        <w:tc>
          <w:tcPr>
            <w:tcW w:w="575" w:type="pct"/>
            <w:vMerge w:val="restart"/>
            <w:vAlign w:val="center"/>
          </w:tcPr>
          <w:p w14:paraId="44B212EB">
            <w:pPr>
              <w:pStyle w:val="5"/>
              <w:snapToGrid w:val="0"/>
              <w:jc w:val="left"/>
              <w:rPr>
                <w:rFonts w:hAnsi="宋体" w:cs="宋体"/>
              </w:rPr>
            </w:pPr>
            <w:r>
              <w:rPr>
                <w:rFonts w:hint="eastAsia" w:ascii="宋体" w:cs="Courier New" w:hAnsiTheme="minorHAnsi" w:eastAsiaTheme="minorEastAsia"/>
                <w:b w:val="0"/>
                <w:szCs w:val="21"/>
              </w:rPr>
              <w:t>予以施工单位及其项目负责人等责任人员红色警示2个月并启动行政处罚程序。</w:t>
            </w:r>
          </w:p>
        </w:tc>
      </w:tr>
      <w:tr w14:paraId="1F1D5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264" w:type="pct"/>
            <w:vAlign w:val="center"/>
          </w:tcPr>
          <w:p w14:paraId="3CF2645F">
            <w:pPr>
              <w:pStyle w:val="5"/>
              <w:snapToGrid w:val="0"/>
              <w:jc w:val="center"/>
              <w:rPr>
                <w:rFonts w:hAnsi="宋体" w:cs="宋体"/>
              </w:rPr>
            </w:pPr>
            <w:r>
              <w:rPr>
                <w:rFonts w:hint="eastAsia" w:ascii="宋体" w:hAnsi="宋体" w:cs="宋体" w:eastAsiaTheme="minorEastAsia"/>
                <w:b w:val="0"/>
                <w:szCs w:val="21"/>
              </w:rPr>
              <w:t>二</w:t>
            </w:r>
          </w:p>
        </w:tc>
        <w:tc>
          <w:tcPr>
            <w:tcW w:w="1296" w:type="pct"/>
            <w:vAlign w:val="center"/>
          </w:tcPr>
          <w:p w14:paraId="520ED70E">
            <w:pPr>
              <w:pStyle w:val="5"/>
              <w:snapToGrid w:val="0"/>
              <w:rPr>
                <w:rFonts w:hAnsi="宋体" w:cs="宋体"/>
              </w:rPr>
            </w:pPr>
            <w:r>
              <w:rPr>
                <w:rFonts w:hint="eastAsia" w:ascii="宋体" w:cs="Courier New" w:hAnsiTheme="minorHAnsi" w:eastAsiaTheme="minorEastAsia"/>
                <w:b w:val="0"/>
                <w:szCs w:val="21"/>
              </w:rPr>
              <w:t>严禁未取得相应资格证书违规上岗</w:t>
            </w:r>
          </w:p>
        </w:tc>
        <w:tc>
          <w:tcPr>
            <w:tcW w:w="2863" w:type="pct"/>
            <w:vAlign w:val="center"/>
          </w:tcPr>
          <w:p w14:paraId="2077DCB7">
            <w:pPr>
              <w:pStyle w:val="5"/>
              <w:snapToGrid w:val="0"/>
              <w:jc w:val="left"/>
              <w:rPr>
                <w:rFonts w:hAnsi="宋体" w:cs="宋体"/>
              </w:rPr>
            </w:pPr>
            <w:r>
              <w:rPr>
                <w:rFonts w:hint="eastAsia" w:ascii="宋体" w:cs="Courier New" w:hAnsiTheme="minorHAnsi" w:eastAsiaTheme="minorEastAsia"/>
                <w:b w:val="0"/>
                <w:szCs w:val="21"/>
              </w:rPr>
              <w:t>专职安全生产管理人员以及特种作业人员未取得相应资格证书上岗从事相关工作的。</w:t>
            </w:r>
          </w:p>
        </w:tc>
        <w:tc>
          <w:tcPr>
            <w:tcW w:w="575" w:type="pct"/>
            <w:vMerge w:val="continue"/>
            <w:vAlign w:val="center"/>
          </w:tcPr>
          <w:p w14:paraId="2348345E">
            <w:pPr>
              <w:pStyle w:val="5"/>
              <w:snapToGrid w:val="0"/>
              <w:jc w:val="left"/>
              <w:rPr>
                <w:rFonts w:hAnsi="宋体" w:cs="宋体"/>
              </w:rPr>
            </w:pPr>
          </w:p>
        </w:tc>
      </w:tr>
      <w:tr w14:paraId="29CC9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264" w:type="pct"/>
            <w:vAlign w:val="center"/>
          </w:tcPr>
          <w:p w14:paraId="07B08A35">
            <w:pPr>
              <w:pStyle w:val="5"/>
              <w:snapToGrid w:val="0"/>
              <w:jc w:val="center"/>
              <w:rPr>
                <w:rFonts w:hAnsi="宋体" w:cs="宋体"/>
              </w:rPr>
            </w:pPr>
            <w:r>
              <w:rPr>
                <w:rFonts w:hint="eastAsia" w:ascii="宋体" w:hAnsi="宋体" w:cs="宋体" w:eastAsiaTheme="minorEastAsia"/>
                <w:b w:val="0"/>
                <w:szCs w:val="21"/>
              </w:rPr>
              <w:t>三</w:t>
            </w:r>
          </w:p>
        </w:tc>
        <w:tc>
          <w:tcPr>
            <w:tcW w:w="1296" w:type="pct"/>
            <w:vAlign w:val="center"/>
          </w:tcPr>
          <w:p w14:paraId="66E63B3E">
            <w:pPr>
              <w:pStyle w:val="9"/>
              <w:snapToGrid w:val="0"/>
              <w:spacing w:line="240" w:lineRule="auto"/>
              <w:ind w:firstLine="0" w:firstLineChars="0"/>
              <w:rPr>
                <w:rFonts w:ascii="宋体" w:hAnsi="Calibri" w:eastAsia="宋体" w:cs="Courier New"/>
                <w:kern w:val="2"/>
                <w:sz w:val="21"/>
                <w:szCs w:val="21"/>
              </w:rPr>
            </w:pPr>
            <w:r>
              <w:rPr>
                <w:rFonts w:hint="eastAsia" w:ascii="宋体" w:hAnsi="Calibri" w:eastAsia="宋体" w:cs="Courier New"/>
                <w:b w:val="0"/>
                <w:kern w:val="2"/>
                <w:sz w:val="21"/>
                <w:szCs w:val="21"/>
              </w:rPr>
              <w:t>严禁违反危大工程方案管理相关规定</w:t>
            </w:r>
          </w:p>
          <w:p w14:paraId="4E980A38">
            <w:pPr>
              <w:pStyle w:val="5"/>
              <w:keepNext/>
              <w:keepLines/>
              <w:snapToGrid w:val="0"/>
              <w:rPr>
                <w:b w:val="0"/>
                <w:bCs w:val="0"/>
                <w:sz w:val="21"/>
              </w:rPr>
            </w:pPr>
          </w:p>
        </w:tc>
        <w:tc>
          <w:tcPr>
            <w:tcW w:w="2863" w:type="pct"/>
            <w:vAlign w:val="center"/>
          </w:tcPr>
          <w:p w14:paraId="255A37FC">
            <w:pPr>
              <w:pStyle w:val="5"/>
              <w:snapToGrid w:val="0"/>
              <w:jc w:val="left"/>
              <w:rPr>
                <w:rFonts w:hAnsi="宋体" w:cs="宋体"/>
              </w:rPr>
            </w:pPr>
            <w:r>
              <w:rPr>
                <w:rFonts w:hint="eastAsia" w:ascii="宋体" w:cs="Courier New" w:hAnsiTheme="minorHAnsi" w:eastAsiaTheme="minorEastAsia"/>
                <w:b w:val="0"/>
                <w:szCs w:val="21"/>
              </w:rPr>
              <w:t>未编制危大工程施工方案、未按规定履行危大工程施工审批、论证程序，或者编制、审批人员资格不符合要求，开展危大工程施工的。</w:t>
            </w:r>
          </w:p>
        </w:tc>
        <w:tc>
          <w:tcPr>
            <w:tcW w:w="575" w:type="pct"/>
            <w:vMerge w:val="continue"/>
            <w:vAlign w:val="center"/>
          </w:tcPr>
          <w:p w14:paraId="0BF38E7C">
            <w:pPr>
              <w:pStyle w:val="5"/>
              <w:snapToGrid w:val="0"/>
              <w:jc w:val="left"/>
              <w:rPr>
                <w:rFonts w:hAnsi="宋体" w:cs="宋体"/>
              </w:rPr>
            </w:pPr>
          </w:p>
        </w:tc>
      </w:tr>
      <w:tr w14:paraId="3C8AC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264" w:type="pct"/>
            <w:vAlign w:val="center"/>
          </w:tcPr>
          <w:p w14:paraId="62EB1B81">
            <w:pPr>
              <w:pStyle w:val="5"/>
              <w:snapToGrid w:val="0"/>
              <w:jc w:val="center"/>
              <w:rPr>
                <w:rFonts w:hAnsi="宋体" w:cs="宋体"/>
              </w:rPr>
            </w:pPr>
            <w:r>
              <w:rPr>
                <w:rFonts w:hint="eastAsia" w:ascii="宋体" w:hAnsi="宋体" w:cs="宋体" w:eastAsiaTheme="minorEastAsia"/>
                <w:b w:val="0"/>
                <w:szCs w:val="21"/>
              </w:rPr>
              <w:t>四</w:t>
            </w:r>
          </w:p>
        </w:tc>
        <w:tc>
          <w:tcPr>
            <w:tcW w:w="1296" w:type="pct"/>
            <w:vAlign w:val="center"/>
          </w:tcPr>
          <w:p w14:paraId="71DC56D2">
            <w:pPr>
              <w:pStyle w:val="5"/>
              <w:snapToGrid w:val="0"/>
            </w:pPr>
            <w:r>
              <w:rPr>
                <w:rFonts w:hint="eastAsia" w:ascii="宋体" w:cs="Courier New" w:hAnsiTheme="minorHAnsi" w:eastAsiaTheme="minorEastAsia"/>
                <w:b w:val="0"/>
                <w:szCs w:val="21"/>
              </w:rPr>
              <w:t>严禁违反危大工程验收管理相关规定</w:t>
            </w:r>
          </w:p>
        </w:tc>
        <w:tc>
          <w:tcPr>
            <w:tcW w:w="2863" w:type="pct"/>
            <w:vAlign w:val="center"/>
          </w:tcPr>
          <w:p w14:paraId="24A67C4C">
            <w:pPr>
              <w:pStyle w:val="9"/>
              <w:snapToGrid w:val="0"/>
              <w:spacing w:line="240" w:lineRule="auto"/>
              <w:ind w:firstLine="0" w:firstLineChars="0"/>
              <w:rPr>
                <w:rFonts w:ascii="宋体" w:hAnsi="Calibri" w:eastAsia="宋体" w:cs="Courier New"/>
                <w:kern w:val="2"/>
                <w:sz w:val="21"/>
                <w:szCs w:val="21"/>
              </w:rPr>
            </w:pPr>
            <w:r>
              <w:rPr>
                <w:rFonts w:hint="eastAsia" w:ascii="宋体" w:hAnsi="Calibri" w:eastAsia="宋体" w:cs="Courier New"/>
                <w:b w:val="0"/>
                <w:kern w:val="2"/>
                <w:sz w:val="21"/>
                <w:szCs w:val="21"/>
              </w:rPr>
              <w:t>危大工程施工需要组织工序验收或者中间验收，如基坑开挖条件验收、盾构法隧道始发条件验收、盾构机带压开仓条件验收、矿山法隧道开挖条件验收、模板支撑体系验收、脚手架或者建筑起重机械基础验收等，未经验收合格开展下一道工序施工的。</w:t>
            </w:r>
          </w:p>
        </w:tc>
        <w:tc>
          <w:tcPr>
            <w:tcW w:w="575" w:type="pct"/>
            <w:vMerge w:val="continue"/>
            <w:vAlign w:val="center"/>
          </w:tcPr>
          <w:p w14:paraId="14CC44C5">
            <w:pPr>
              <w:pStyle w:val="5"/>
              <w:keepNext/>
              <w:keepLines/>
              <w:snapToGrid w:val="0"/>
              <w:jc w:val="left"/>
              <w:rPr>
                <w:rFonts w:hAnsi="宋体" w:cs="宋体"/>
                <w:b w:val="0"/>
                <w:bCs w:val="0"/>
                <w:sz w:val="21"/>
              </w:rPr>
            </w:pPr>
          </w:p>
        </w:tc>
      </w:tr>
      <w:tr w14:paraId="30D34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264" w:type="pct"/>
            <w:vAlign w:val="center"/>
          </w:tcPr>
          <w:p w14:paraId="6175279C">
            <w:pPr>
              <w:pStyle w:val="5"/>
              <w:snapToGrid w:val="0"/>
              <w:jc w:val="center"/>
              <w:rPr>
                <w:rFonts w:hAnsi="宋体" w:cs="宋体"/>
              </w:rPr>
            </w:pPr>
            <w:r>
              <w:rPr>
                <w:rFonts w:hint="eastAsia" w:ascii="宋体" w:hAnsi="宋体" w:cs="宋体" w:eastAsiaTheme="minorEastAsia"/>
                <w:b w:val="0"/>
                <w:szCs w:val="21"/>
              </w:rPr>
              <w:t>五</w:t>
            </w:r>
          </w:p>
        </w:tc>
        <w:tc>
          <w:tcPr>
            <w:tcW w:w="1296" w:type="pct"/>
            <w:vAlign w:val="center"/>
          </w:tcPr>
          <w:p w14:paraId="16ABB959">
            <w:pPr>
              <w:pStyle w:val="9"/>
              <w:snapToGrid w:val="0"/>
              <w:spacing w:line="240" w:lineRule="auto"/>
              <w:ind w:firstLine="0" w:firstLineChars="0"/>
              <w:rPr>
                <w:rFonts w:ascii="宋体" w:hAnsi="Calibri" w:eastAsia="宋体" w:cs="Courier New"/>
                <w:kern w:val="2"/>
                <w:sz w:val="21"/>
                <w:szCs w:val="21"/>
              </w:rPr>
            </w:pPr>
            <w:r>
              <w:rPr>
                <w:rFonts w:hint="eastAsia" w:ascii="宋体" w:hAnsi="Calibri" w:eastAsia="宋体" w:cs="Courier New"/>
                <w:b w:val="0"/>
                <w:kern w:val="2"/>
                <w:sz w:val="21"/>
                <w:szCs w:val="21"/>
              </w:rPr>
              <w:t>严禁未采取专项保护措施擅自施工</w:t>
            </w:r>
          </w:p>
          <w:p w14:paraId="53BDF144">
            <w:pPr>
              <w:pStyle w:val="5"/>
              <w:keepNext/>
              <w:keepLines/>
              <w:snapToGrid w:val="0"/>
              <w:rPr>
                <w:rFonts w:hAnsi="宋体" w:cs="宋体"/>
                <w:b w:val="0"/>
                <w:bCs w:val="0"/>
                <w:sz w:val="21"/>
              </w:rPr>
            </w:pPr>
          </w:p>
        </w:tc>
        <w:tc>
          <w:tcPr>
            <w:tcW w:w="2863" w:type="pct"/>
            <w:vAlign w:val="center"/>
          </w:tcPr>
          <w:p w14:paraId="6879FF12">
            <w:pPr>
              <w:pStyle w:val="9"/>
              <w:snapToGrid w:val="0"/>
              <w:spacing w:line="240" w:lineRule="auto"/>
              <w:ind w:firstLine="0" w:firstLineChars="0"/>
              <w:rPr>
                <w:rFonts w:ascii="宋体" w:hAnsi="宋体" w:eastAsia="宋体" w:cs="宋体"/>
                <w:kern w:val="0"/>
                <w:szCs w:val="21"/>
              </w:rPr>
            </w:pPr>
            <w:r>
              <w:rPr>
                <w:rFonts w:hint="eastAsia" w:ascii="宋体" w:hAnsi="Calibri" w:eastAsia="宋体" w:cs="Courier New"/>
                <w:b w:val="0"/>
                <w:kern w:val="2"/>
                <w:sz w:val="21"/>
                <w:szCs w:val="21"/>
              </w:rPr>
              <w:t>基坑、暗挖等地下工程，不按规定对可能造成损害的毗邻重要建筑物、构筑物和地下管线等采取专项防护措施的进行施工的。</w:t>
            </w:r>
          </w:p>
        </w:tc>
        <w:tc>
          <w:tcPr>
            <w:tcW w:w="575" w:type="pct"/>
            <w:vMerge w:val="continue"/>
            <w:vAlign w:val="center"/>
          </w:tcPr>
          <w:p w14:paraId="6598B698">
            <w:pPr>
              <w:pStyle w:val="5"/>
              <w:keepNext/>
              <w:keepLines/>
              <w:snapToGrid w:val="0"/>
              <w:jc w:val="left"/>
              <w:rPr>
                <w:rFonts w:hAnsi="宋体" w:cs="宋体"/>
                <w:b w:val="0"/>
                <w:bCs w:val="0"/>
                <w:sz w:val="21"/>
              </w:rPr>
            </w:pPr>
          </w:p>
        </w:tc>
      </w:tr>
      <w:tr w14:paraId="3BD47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264" w:type="pct"/>
            <w:vAlign w:val="center"/>
          </w:tcPr>
          <w:p w14:paraId="76425C86">
            <w:pPr>
              <w:pStyle w:val="5"/>
              <w:snapToGrid w:val="0"/>
              <w:jc w:val="center"/>
              <w:rPr>
                <w:rFonts w:hAnsi="宋体" w:cs="宋体"/>
              </w:rPr>
            </w:pPr>
            <w:r>
              <w:rPr>
                <w:rFonts w:hint="eastAsia" w:ascii="宋体" w:hAnsi="宋体" w:cs="宋体" w:eastAsiaTheme="minorEastAsia"/>
                <w:b w:val="0"/>
                <w:szCs w:val="21"/>
              </w:rPr>
              <w:t>六</w:t>
            </w:r>
          </w:p>
        </w:tc>
        <w:tc>
          <w:tcPr>
            <w:tcW w:w="1296" w:type="pct"/>
            <w:vAlign w:val="center"/>
          </w:tcPr>
          <w:p w14:paraId="16A5D5AE">
            <w:pPr>
              <w:pStyle w:val="9"/>
              <w:snapToGrid w:val="0"/>
              <w:spacing w:line="240" w:lineRule="auto"/>
              <w:ind w:firstLine="0" w:firstLineChars="0"/>
              <w:rPr>
                <w:rFonts w:ascii="宋体" w:hAnsi="Calibri" w:eastAsia="宋体" w:cs="Courier New"/>
                <w:kern w:val="2"/>
                <w:sz w:val="21"/>
                <w:szCs w:val="21"/>
              </w:rPr>
            </w:pPr>
            <w:r>
              <w:rPr>
                <w:rFonts w:hint="eastAsia" w:ascii="宋体" w:hAnsi="Calibri" w:eastAsia="宋体" w:cs="Courier New"/>
                <w:b w:val="0"/>
                <w:kern w:val="2"/>
                <w:sz w:val="21"/>
                <w:szCs w:val="21"/>
              </w:rPr>
              <w:t>严禁重要设施设备不按规定检测验收</w:t>
            </w:r>
          </w:p>
          <w:p w14:paraId="0CBFBCE1">
            <w:pPr>
              <w:pStyle w:val="5"/>
              <w:keepNext/>
              <w:keepLines/>
              <w:snapToGrid w:val="0"/>
              <w:rPr>
                <w:rFonts w:hAnsi="宋体" w:cs="宋体"/>
                <w:b w:val="0"/>
                <w:bCs w:val="0"/>
                <w:sz w:val="21"/>
              </w:rPr>
            </w:pPr>
          </w:p>
        </w:tc>
        <w:tc>
          <w:tcPr>
            <w:tcW w:w="2863" w:type="pct"/>
            <w:vAlign w:val="center"/>
          </w:tcPr>
          <w:p w14:paraId="25E0C270">
            <w:pPr>
              <w:pStyle w:val="9"/>
              <w:snapToGrid w:val="0"/>
              <w:spacing w:line="240" w:lineRule="auto"/>
              <w:ind w:firstLine="0" w:firstLineChars="0"/>
              <w:rPr>
                <w:rFonts w:hAnsi="宋体" w:eastAsia="宋体" w:cs="宋体"/>
                <w:kern w:val="2"/>
                <w:sz w:val="21"/>
                <w:szCs w:val="21"/>
              </w:rPr>
            </w:pPr>
            <w:r>
              <w:rPr>
                <w:rFonts w:hint="eastAsia" w:ascii="宋体" w:hAnsi="Calibri" w:eastAsia="宋体" w:cs="Courier New"/>
                <w:b w:val="0"/>
                <w:kern w:val="2"/>
                <w:sz w:val="21"/>
                <w:szCs w:val="21"/>
              </w:rPr>
              <w:t>吊篮、环形轨道、附着式升降设施、建筑起重机械等重要设施设备，未按规定进行检测验收不得投入使用；施工升降机防坠器超过定期检验有效期不得使用。</w:t>
            </w:r>
          </w:p>
        </w:tc>
        <w:tc>
          <w:tcPr>
            <w:tcW w:w="575" w:type="pct"/>
            <w:vMerge w:val="continue"/>
            <w:vAlign w:val="center"/>
          </w:tcPr>
          <w:p w14:paraId="6FC44AEA">
            <w:pPr>
              <w:pStyle w:val="5"/>
              <w:keepNext/>
              <w:keepLines/>
              <w:snapToGrid w:val="0"/>
              <w:jc w:val="left"/>
              <w:rPr>
                <w:rFonts w:hAnsi="宋体" w:cs="宋体"/>
                <w:b w:val="0"/>
                <w:bCs w:val="0"/>
                <w:sz w:val="21"/>
              </w:rPr>
            </w:pPr>
          </w:p>
        </w:tc>
      </w:tr>
      <w:tr w14:paraId="6F700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264" w:type="pct"/>
            <w:vAlign w:val="center"/>
          </w:tcPr>
          <w:p w14:paraId="79A9C9C9">
            <w:pPr>
              <w:pStyle w:val="5"/>
              <w:snapToGrid w:val="0"/>
              <w:jc w:val="center"/>
              <w:rPr>
                <w:rFonts w:hAnsi="宋体" w:cs="宋体"/>
              </w:rPr>
            </w:pPr>
            <w:r>
              <w:rPr>
                <w:rFonts w:hint="eastAsia" w:ascii="宋体" w:hAnsi="宋体" w:cs="宋体" w:eastAsiaTheme="minorEastAsia"/>
                <w:b w:val="0"/>
                <w:szCs w:val="21"/>
              </w:rPr>
              <w:t>七</w:t>
            </w:r>
          </w:p>
        </w:tc>
        <w:tc>
          <w:tcPr>
            <w:tcW w:w="1296" w:type="pct"/>
            <w:vAlign w:val="center"/>
          </w:tcPr>
          <w:p w14:paraId="24BE875E">
            <w:pPr>
              <w:pStyle w:val="9"/>
              <w:snapToGrid w:val="0"/>
              <w:spacing w:line="240" w:lineRule="auto"/>
              <w:ind w:firstLine="0" w:firstLineChars="0"/>
              <w:rPr>
                <w:rFonts w:ascii="宋体" w:hAnsi="Calibri" w:eastAsia="宋体" w:cs="Courier New"/>
                <w:kern w:val="2"/>
                <w:sz w:val="21"/>
                <w:szCs w:val="21"/>
              </w:rPr>
            </w:pPr>
            <w:r>
              <w:rPr>
                <w:rFonts w:hint="eastAsia" w:ascii="宋体" w:hAnsi="Calibri" w:eastAsia="宋体" w:cs="Courier New"/>
                <w:b w:val="0"/>
                <w:kern w:val="2"/>
                <w:sz w:val="21"/>
                <w:szCs w:val="21"/>
              </w:rPr>
              <w:t>严禁违规开展建筑起重机械安拆作业</w:t>
            </w:r>
          </w:p>
          <w:p w14:paraId="3BEBD023">
            <w:pPr>
              <w:pStyle w:val="5"/>
              <w:keepNext/>
              <w:keepLines/>
              <w:snapToGrid w:val="0"/>
              <w:rPr>
                <w:rFonts w:hAnsi="宋体" w:cs="宋体"/>
                <w:b w:val="0"/>
                <w:bCs w:val="0"/>
                <w:sz w:val="21"/>
              </w:rPr>
            </w:pPr>
          </w:p>
        </w:tc>
        <w:tc>
          <w:tcPr>
            <w:tcW w:w="2863" w:type="pct"/>
            <w:vAlign w:val="center"/>
          </w:tcPr>
          <w:p w14:paraId="3CAC8913">
            <w:pPr>
              <w:pStyle w:val="9"/>
              <w:snapToGrid w:val="0"/>
              <w:spacing w:line="240" w:lineRule="auto"/>
              <w:ind w:firstLine="0" w:firstLineChars="0"/>
              <w:rPr>
                <w:rFonts w:hAnsi="宋体" w:eastAsia="宋体" w:cs="宋体"/>
                <w:kern w:val="2"/>
                <w:sz w:val="21"/>
                <w:szCs w:val="21"/>
              </w:rPr>
            </w:pPr>
            <w:r>
              <w:rPr>
                <w:rFonts w:hint="eastAsia" w:ascii="宋体" w:hAnsi="Calibri" w:eastAsia="宋体" w:cs="Courier New"/>
                <w:b w:val="0"/>
                <w:kern w:val="2"/>
                <w:sz w:val="21"/>
                <w:szCs w:val="21"/>
              </w:rPr>
              <w:t>建筑起重机械未按规定办理安装（拆卸）告知手续、未按规定签发“作业令”实施建筑起重机械安拆或者附着顶升作业的。</w:t>
            </w:r>
          </w:p>
        </w:tc>
        <w:tc>
          <w:tcPr>
            <w:tcW w:w="575" w:type="pct"/>
            <w:vMerge w:val="continue"/>
            <w:vAlign w:val="center"/>
          </w:tcPr>
          <w:p w14:paraId="49E15409">
            <w:pPr>
              <w:pStyle w:val="5"/>
              <w:keepNext/>
              <w:keepLines/>
              <w:snapToGrid w:val="0"/>
              <w:jc w:val="left"/>
              <w:rPr>
                <w:rFonts w:hAnsi="宋体" w:cs="宋体"/>
                <w:b w:val="0"/>
                <w:bCs w:val="0"/>
                <w:sz w:val="21"/>
              </w:rPr>
            </w:pPr>
          </w:p>
        </w:tc>
      </w:tr>
      <w:tr w14:paraId="358AE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264" w:type="pct"/>
            <w:vAlign w:val="center"/>
          </w:tcPr>
          <w:p w14:paraId="13005AFC">
            <w:pPr>
              <w:pStyle w:val="5"/>
              <w:snapToGrid w:val="0"/>
              <w:jc w:val="center"/>
              <w:rPr>
                <w:rFonts w:hAnsi="宋体" w:cs="宋体"/>
              </w:rPr>
            </w:pPr>
            <w:r>
              <w:rPr>
                <w:rFonts w:hint="eastAsia" w:ascii="宋体" w:hAnsi="宋体" w:cs="宋体" w:eastAsiaTheme="minorEastAsia"/>
                <w:b w:val="0"/>
                <w:szCs w:val="21"/>
              </w:rPr>
              <w:t>八</w:t>
            </w:r>
          </w:p>
        </w:tc>
        <w:tc>
          <w:tcPr>
            <w:tcW w:w="1296" w:type="pct"/>
            <w:vAlign w:val="center"/>
          </w:tcPr>
          <w:p w14:paraId="736E2DED">
            <w:pPr>
              <w:pStyle w:val="9"/>
              <w:snapToGrid w:val="0"/>
              <w:spacing w:line="240" w:lineRule="auto"/>
              <w:ind w:firstLine="0" w:firstLineChars="0"/>
              <w:rPr>
                <w:rFonts w:ascii="宋体" w:hAnsi="Calibri" w:eastAsia="宋体" w:cs="Courier New"/>
                <w:kern w:val="2"/>
                <w:sz w:val="21"/>
                <w:szCs w:val="21"/>
              </w:rPr>
            </w:pPr>
            <w:r>
              <w:rPr>
                <w:rFonts w:hint="eastAsia" w:ascii="宋体" w:hAnsi="Calibri" w:eastAsia="宋体" w:cs="Courier New"/>
                <w:b w:val="0"/>
                <w:kern w:val="2"/>
                <w:sz w:val="21"/>
                <w:szCs w:val="21"/>
              </w:rPr>
              <w:t>严禁不按规定履行安全条件审核擅自施工</w:t>
            </w:r>
          </w:p>
          <w:p w14:paraId="172C71BB">
            <w:pPr>
              <w:pStyle w:val="5"/>
              <w:keepNext/>
              <w:keepLines/>
              <w:snapToGrid w:val="0"/>
              <w:rPr>
                <w:rFonts w:hAnsi="宋体" w:cs="宋体"/>
                <w:b w:val="0"/>
                <w:bCs w:val="0"/>
                <w:sz w:val="21"/>
              </w:rPr>
            </w:pPr>
          </w:p>
        </w:tc>
        <w:tc>
          <w:tcPr>
            <w:tcW w:w="2863" w:type="pct"/>
            <w:vAlign w:val="center"/>
          </w:tcPr>
          <w:p w14:paraId="008E0848">
            <w:pPr>
              <w:pStyle w:val="9"/>
              <w:snapToGrid w:val="0"/>
              <w:spacing w:line="240" w:lineRule="auto"/>
              <w:ind w:firstLine="0" w:firstLineChars="0"/>
              <w:rPr>
                <w:rFonts w:hAnsi="宋体" w:eastAsia="宋体" w:cs="宋体"/>
                <w:kern w:val="2"/>
                <w:sz w:val="21"/>
                <w:szCs w:val="21"/>
              </w:rPr>
            </w:pPr>
            <w:r>
              <w:rPr>
                <w:rFonts w:hint="eastAsia" w:ascii="宋体" w:hAnsi="Calibri" w:eastAsia="宋体" w:cs="Courier New"/>
                <w:b w:val="0"/>
                <w:kern w:val="2"/>
                <w:sz w:val="21"/>
                <w:szCs w:val="21"/>
              </w:rPr>
              <w:t>未签发“动火令”、未签发附着式升降设施提升作业“作业令”、起重量超过10kn的起重吊装工程未签发“吊装令”开展相关作业的</w:t>
            </w:r>
          </w:p>
        </w:tc>
        <w:tc>
          <w:tcPr>
            <w:tcW w:w="575" w:type="pct"/>
            <w:vMerge w:val="continue"/>
            <w:vAlign w:val="center"/>
          </w:tcPr>
          <w:p w14:paraId="0232F861">
            <w:pPr>
              <w:pStyle w:val="5"/>
              <w:keepNext/>
              <w:keepLines/>
              <w:snapToGrid w:val="0"/>
              <w:jc w:val="left"/>
              <w:rPr>
                <w:rFonts w:hAnsi="宋体" w:cs="宋体"/>
                <w:b w:val="0"/>
                <w:bCs w:val="0"/>
                <w:sz w:val="21"/>
              </w:rPr>
            </w:pPr>
          </w:p>
        </w:tc>
      </w:tr>
      <w:tr w14:paraId="092B2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264" w:type="pct"/>
            <w:vAlign w:val="center"/>
          </w:tcPr>
          <w:p w14:paraId="65ACE4E9">
            <w:pPr>
              <w:pStyle w:val="5"/>
              <w:snapToGrid w:val="0"/>
              <w:jc w:val="center"/>
              <w:rPr>
                <w:rFonts w:hAnsi="宋体" w:cs="宋体"/>
              </w:rPr>
            </w:pPr>
            <w:r>
              <w:rPr>
                <w:rFonts w:hint="eastAsia" w:ascii="宋体" w:hAnsi="宋体" w:cs="宋体" w:eastAsiaTheme="minorEastAsia"/>
                <w:b w:val="0"/>
                <w:szCs w:val="21"/>
              </w:rPr>
              <w:t>九</w:t>
            </w:r>
          </w:p>
        </w:tc>
        <w:tc>
          <w:tcPr>
            <w:tcW w:w="1296" w:type="pct"/>
            <w:vAlign w:val="center"/>
          </w:tcPr>
          <w:p w14:paraId="4D1BD459">
            <w:pPr>
              <w:pStyle w:val="5"/>
              <w:snapToGrid w:val="0"/>
              <w:rPr>
                <w:rFonts w:hAnsi="宋体" w:cs="宋体"/>
              </w:rPr>
            </w:pPr>
            <w:r>
              <w:rPr>
                <w:rFonts w:hint="eastAsia" w:ascii="宋体" w:cs="Courier New" w:hAnsiTheme="minorHAnsi" w:eastAsiaTheme="minorEastAsia"/>
                <w:b w:val="0"/>
                <w:szCs w:val="21"/>
              </w:rPr>
              <w:t>严禁违规开展有限空间作业</w:t>
            </w:r>
          </w:p>
        </w:tc>
        <w:tc>
          <w:tcPr>
            <w:tcW w:w="2863" w:type="pct"/>
            <w:vAlign w:val="center"/>
          </w:tcPr>
          <w:p w14:paraId="7C44FAFB">
            <w:pPr>
              <w:pStyle w:val="5"/>
              <w:snapToGrid w:val="0"/>
              <w:jc w:val="left"/>
              <w:rPr>
                <w:rFonts w:hAnsi="宋体" w:cs="宋体"/>
              </w:rPr>
            </w:pPr>
            <w:r>
              <w:rPr>
                <w:rFonts w:hint="eastAsia" w:ascii="宋体" w:cs="Courier New" w:hAnsiTheme="minorHAnsi" w:eastAsiaTheme="minorEastAsia"/>
                <w:b w:val="0"/>
                <w:szCs w:val="21"/>
              </w:rPr>
              <w:t>有限空间作业未履行作业审批手续的、未执行“先通风、再检测、后作业”或者未配备专人进行监护开展作业的。</w:t>
            </w:r>
          </w:p>
        </w:tc>
        <w:tc>
          <w:tcPr>
            <w:tcW w:w="575" w:type="pct"/>
            <w:vMerge w:val="continue"/>
            <w:vAlign w:val="center"/>
          </w:tcPr>
          <w:p w14:paraId="438E6E5A">
            <w:pPr>
              <w:pStyle w:val="5"/>
              <w:snapToGrid w:val="0"/>
              <w:jc w:val="left"/>
              <w:rPr>
                <w:rFonts w:hAnsi="宋体" w:cs="宋体"/>
              </w:rPr>
            </w:pPr>
          </w:p>
        </w:tc>
      </w:tr>
      <w:tr w14:paraId="0FFAC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264" w:type="pct"/>
            <w:vAlign w:val="center"/>
          </w:tcPr>
          <w:p w14:paraId="64D6C3A0">
            <w:pPr>
              <w:pStyle w:val="5"/>
              <w:snapToGrid w:val="0"/>
              <w:jc w:val="center"/>
              <w:rPr>
                <w:rFonts w:hAnsi="宋体" w:cs="宋体"/>
              </w:rPr>
            </w:pPr>
            <w:r>
              <w:rPr>
                <w:rFonts w:hint="eastAsia" w:ascii="宋体" w:hAnsi="宋体" w:cs="宋体" w:eastAsiaTheme="minorEastAsia"/>
                <w:b w:val="0"/>
                <w:szCs w:val="21"/>
              </w:rPr>
              <w:t>十</w:t>
            </w:r>
          </w:p>
        </w:tc>
        <w:tc>
          <w:tcPr>
            <w:tcW w:w="1296" w:type="pct"/>
            <w:vAlign w:val="center"/>
          </w:tcPr>
          <w:p w14:paraId="2BA3C5DE">
            <w:pPr>
              <w:pStyle w:val="9"/>
              <w:snapToGrid w:val="0"/>
              <w:spacing w:line="240" w:lineRule="auto"/>
              <w:ind w:firstLine="0" w:firstLineChars="0"/>
              <w:rPr>
                <w:rFonts w:hAnsi="宋体" w:cs="宋体"/>
                <w:kern w:val="0"/>
              </w:rPr>
            </w:pPr>
            <w:r>
              <w:rPr>
                <w:rFonts w:hint="eastAsia" w:ascii="宋体" w:hAnsi="Calibri" w:eastAsia="宋体" w:cs="Courier New"/>
                <w:b w:val="0"/>
                <w:kern w:val="2"/>
                <w:sz w:val="21"/>
                <w:szCs w:val="21"/>
              </w:rPr>
              <w:t>严禁不按规定采取可靠防护进行临边高处作业</w:t>
            </w:r>
          </w:p>
        </w:tc>
        <w:tc>
          <w:tcPr>
            <w:tcW w:w="2863" w:type="pct"/>
            <w:vAlign w:val="center"/>
          </w:tcPr>
          <w:p w14:paraId="1021D602">
            <w:pPr>
              <w:pStyle w:val="9"/>
              <w:snapToGrid w:val="0"/>
              <w:spacing w:line="240" w:lineRule="auto"/>
              <w:ind w:firstLine="0" w:firstLineChars="0"/>
              <w:rPr>
                <w:rFonts w:hAnsi="宋体" w:eastAsia="宋体" w:cs="宋体"/>
                <w:kern w:val="2"/>
                <w:sz w:val="21"/>
                <w:szCs w:val="21"/>
              </w:rPr>
            </w:pPr>
            <w:r>
              <w:rPr>
                <w:rFonts w:hint="eastAsia" w:ascii="宋体" w:hAnsi="Calibri" w:eastAsia="宋体" w:cs="Courier New"/>
                <w:b w:val="0"/>
                <w:kern w:val="2"/>
                <w:sz w:val="21"/>
                <w:szCs w:val="21"/>
              </w:rPr>
              <w:t>“生命绳”等防高坠措施落实不到位、作业人员未正确佩戴、系挂安全带开展临边高处作业的。</w:t>
            </w:r>
          </w:p>
        </w:tc>
        <w:tc>
          <w:tcPr>
            <w:tcW w:w="575" w:type="pct"/>
            <w:vMerge w:val="continue"/>
            <w:vAlign w:val="center"/>
          </w:tcPr>
          <w:p w14:paraId="43C10BF2">
            <w:pPr>
              <w:pStyle w:val="5"/>
              <w:keepNext/>
              <w:keepLines/>
              <w:snapToGrid w:val="0"/>
              <w:jc w:val="left"/>
              <w:rPr>
                <w:rFonts w:hAnsi="宋体" w:cs="宋体"/>
                <w:b w:val="0"/>
                <w:bCs w:val="0"/>
                <w:sz w:val="21"/>
              </w:rPr>
            </w:pPr>
          </w:p>
        </w:tc>
      </w:tr>
    </w:tbl>
    <w:p w14:paraId="31487081">
      <w:pPr>
        <w:pStyle w:val="5"/>
        <w:snapToGrid w:val="0"/>
      </w:pPr>
    </w:p>
    <w:p w14:paraId="6A08B5AD">
      <w:pPr>
        <w:snapToGrid w:val="0"/>
      </w:pPr>
    </w:p>
    <w:p w14:paraId="01953477">
      <w:pPr>
        <w:pStyle w:val="3"/>
        <w:snapToGrid w:val="0"/>
      </w:pPr>
    </w:p>
    <w:p w14:paraId="2C962716">
      <w:bookmarkStart w:id="1" w:name="_GoBack"/>
      <w:bookmarkEnd w:id="1"/>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SI仿宋-GB2312">
    <w:altName w:val="仿宋"/>
    <w:panose1 w:val="00000000000000000000"/>
    <w:charset w:val="86"/>
    <w:family w:val="auto"/>
    <w:pitch w:val="default"/>
    <w:sig w:usb0="00000000" w:usb1="00000000" w:usb2="00000010"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青鸟华光简小标宋">
    <w:altName w:val="宋体"/>
    <w:panose1 w:val="02010604000101010101"/>
    <w:charset w:val="86"/>
    <w:family w:val="auto"/>
    <w:pitch w:val="default"/>
    <w:sig w:usb0="00000000" w:usb1="00000000" w:usb2="00000010"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iMDliYWUwMGI3ZjUyN2MyZTEwMTg5MTVjYmVlOGYifQ=="/>
  </w:docVars>
  <w:rsids>
    <w:rsidRoot w:val="00000000"/>
    <w:rsid w:val="770114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qFormat/>
    <w:uiPriority w:val="9"/>
    <w:pPr>
      <w:adjustRightInd w:val="0"/>
      <w:snapToGrid w:val="0"/>
      <w:spacing w:line="560" w:lineRule="exact"/>
      <w:jc w:val="left"/>
      <w:outlineLvl w:val="0"/>
    </w:pPr>
    <w:rPr>
      <w:rFonts w:hint="eastAsia" w:ascii="宋体" w:hAnsi="宋体" w:eastAsia="CESI仿宋-GB2312" w:cs="Times New Roman"/>
      <w:b/>
      <w:kern w:val="44"/>
      <w:sz w:val="32"/>
      <w:szCs w:val="48"/>
    </w:rPr>
  </w:style>
  <w:style w:type="character" w:default="1" w:styleId="8">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3"/>
    <w:unhideWhenUsed/>
    <w:qFormat/>
    <w:uiPriority w:val="99"/>
    <w:pPr>
      <w:ind w:firstLine="420" w:firstLineChars="100"/>
    </w:pPr>
    <w:rPr>
      <w:sz w:val="21"/>
      <w:szCs w:val="24"/>
    </w:rPr>
  </w:style>
  <w:style w:type="paragraph" w:styleId="3">
    <w:name w:val="Body Text"/>
    <w:basedOn w:val="1"/>
    <w:next w:val="1"/>
    <w:qFormat/>
    <w:uiPriority w:val="0"/>
    <w:pPr>
      <w:jc w:val="center"/>
    </w:pPr>
    <w:rPr>
      <w:rFonts w:ascii="Times New Roman" w:hAnsi="Times New Roman" w:eastAsia="黑体" w:cs="Times New Roman"/>
      <w:sz w:val="44"/>
      <w:szCs w:val="20"/>
    </w:rPr>
  </w:style>
  <w:style w:type="paragraph" w:styleId="5">
    <w:name w:val="Plain Text"/>
    <w:basedOn w:val="1"/>
    <w:qFormat/>
    <w:uiPriority w:val="0"/>
    <w:rPr>
      <w:rFonts w:ascii="宋体" w:cs="Courier New"/>
      <w:szCs w:val="21"/>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
    <w:name w:val="BZWFS"/>
    <w:qFormat/>
    <w:uiPriority w:val="0"/>
    <w:pPr>
      <w:widowControl w:val="0"/>
      <w:spacing w:line="560" w:lineRule="exact"/>
      <w:ind w:firstLine="880" w:firstLineChars="200"/>
      <w:jc w:val="both"/>
    </w:pPr>
    <w:rPr>
      <w:rFonts w:ascii="仿宋_GB2312" w:hAnsi="仿宋_GB2312" w:eastAsia="仿宋_GB2312" w:cs="Times New Roman"/>
      <w:sz w:val="32"/>
      <w:szCs w:val="3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MSC</dc:creator>
  <cp:lastModifiedBy>思聪丷</cp:lastModifiedBy>
  <dcterms:modified xsi:type="dcterms:W3CDTF">2024-09-18T08:34:15Z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C3BF38A0C46A402081D61CEC7C7DAC82_12</vt:lpwstr>
  </property>
</Properties>
</file>