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B2E9E">
      <w:pPr>
        <w:snapToGrid w:val="0"/>
        <w:spacing w:line="580" w:lineRule="exact"/>
        <w:rPr>
          <w:rFonts w:ascii="黑体" w:hAnsi="黑体" w:eastAsia="黑体"/>
          <w:kern w:val="0"/>
          <w:sz w:val="32"/>
          <w:szCs w:val="32"/>
        </w:rPr>
      </w:pPr>
      <w:r>
        <w:rPr>
          <w:rFonts w:ascii="黑体" w:hAnsi="黑体" w:eastAsia="黑体"/>
          <w:kern w:val="0"/>
          <w:sz w:val="32"/>
          <w:szCs w:val="32"/>
        </w:rPr>
        <w:t>附件2</w:t>
      </w:r>
    </w:p>
    <w:p w14:paraId="082AF6E3">
      <w:pPr>
        <w:pStyle w:val="4"/>
        <w:spacing w:line="580" w:lineRule="exact"/>
        <w:jc w:val="center"/>
        <w:rPr>
          <w:rFonts w:hint="default"/>
          <w:b w:val="0"/>
          <w:sz w:val="36"/>
          <w:szCs w:val="52"/>
        </w:rPr>
      </w:pPr>
      <w:bookmarkStart w:id="0" w:name="_Toc1326837926"/>
      <w:bookmarkStart w:id="1" w:name="_Toc1205337710_WPSOffice_Level1"/>
    </w:p>
    <w:p w14:paraId="5FABD7A1">
      <w:pPr>
        <w:pStyle w:val="4"/>
        <w:spacing w:line="580" w:lineRule="exact"/>
        <w:jc w:val="center"/>
        <w:rPr>
          <w:rFonts w:hint="default" w:ascii="青鸟华光简小标宋" w:hAnsi="青鸟华光简小标宋" w:eastAsia="青鸟华光简小标宋" w:cs="青鸟华光简小标宋"/>
          <w:b w:val="0"/>
          <w:sz w:val="44"/>
          <w:szCs w:val="44"/>
        </w:rPr>
      </w:pPr>
      <w:r>
        <w:rPr>
          <w:rFonts w:ascii="青鸟华光简小标宋" w:hAnsi="青鸟华光简小标宋" w:eastAsia="青鸟华光简小标宋" w:cs="青鸟华光简小标宋"/>
          <w:b w:val="0"/>
          <w:kern w:val="44"/>
          <w:sz w:val="44"/>
          <w:szCs w:val="44"/>
        </w:rPr>
        <w:t>超过一定规模的危险性较大的分部分项</w:t>
      </w:r>
    </w:p>
    <w:p w14:paraId="6656FECF">
      <w:pPr>
        <w:pStyle w:val="4"/>
        <w:spacing w:line="580" w:lineRule="exact"/>
        <w:jc w:val="center"/>
        <w:rPr>
          <w:rFonts w:hint="default" w:ascii="青鸟华光简小标宋" w:hAnsi="青鸟华光简小标宋" w:eastAsia="青鸟华光简小标宋" w:cs="青鸟华光简小标宋"/>
          <w:b w:val="0"/>
          <w:sz w:val="44"/>
          <w:szCs w:val="44"/>
        </w:rPr>
      </w:pPr>
      <w:r>
        <w:rPr>
          <w:rFonts w:ascii="青鸟华光简小标宋" w:hAnsi="青鸟华光简小标宋" w:eastAsia="青鸟华光简小标宋" w:cs="青鸟华光简小标宋"/>
          <w:b w:val="0"/>
          <w:kern w:val="44"/>
          <w:sz w:val="44"/>
          <w:szCs w:val="44"/>
        </w:rPr>
        <w:t>工程范围</w:t>
      </w:r>
      <w:bookmarkEnd w:id="0"/>
      <w:bookmarkEnd w:id="1"/>
    </w:p>
    <w:p w14:paraId="78EBB55E">
      <w:pPr>
        <w:adjustRightInd w:val="0"/>
        <w:snapToGrid w:val="0"/>
        <w:spacing w:line="580" w:lineRule="exact"/>
        <w:ind w:firstLine="640" w:firstLineChars="200"/>
        <w:rPr>
          <w:rFonts w:ascii="黑体" w:hAnsi="黑体" w:eastAsia="黑体"/>
          <w:kern w:val="0"/>
          <w:sz w:val="32"/>
          <w:szCs w:val="32"/>
        </w:rPr>
      </w:pPr>
    </w:p>
    <w:p w14:paraId="0B8C035B">
      <w:pPr>
        <w:pStyle w:val="7"/>
        <w:snapToGrid w:val="0"/>
        <w:spacing w:line="580" w:lineRule="exact"/>
        <w:ind w:firstLine="640" w:firstLineChars="200"/>
        <w:rPr>
          <w:rFonts w:ascii="黑体" w:hAnsi="黑体" w:eastAsia="黑体" w:cs="黑体"/>
          <w:sz w:val="32"/>
          <w:szCs w:val="32"/>
        </w:rPr>
      </w:pPr>
      <w:r>
        <w:rPr>
          <w:rFonts w:hint="eastAsia" w:ascii="黑体" w:hAnsi="黑体" w:eastAsia="黑体" w:cs="黑体"/>
          <w:color w:val="000000"/>
          <w:kern w:val="0"/>
          <w:sz w:val="32"/>
          <w:szCs w:val="32"/>
        </w:rPr>
        <w:t>一、深基坑工程</w:t>
      </w:r>
    </w:p>
    <w:p w14:paraId="728CC2C7">
      <w:pPr>
        <w:pStyle w:val="7"/>
        <w:snapToGrid w:val="0"/>
        <w:spacing w:line="580" w:lineRule="exact"/>
        <w:ind w:firstLine="630"/>
        <w:rPr>
          <w:rFonts w:hint="eastAsia" w:ascii="仿宋_GB2312" w:hAnsi="仿宋_GB2312" w:eastAsia="仿宋_GB2312" w:cs="仿宋_GB2312"/>
          <w:color w:val="000000"/>
          <w:sz w:val="32"/>
          <w:szCs w:val="32"/>
        </w:rPr>
      </w:pPr>
      <w:r>
        <w:rPr>
          <w:rFonts w:hint="eastAsia" w:ascii="仿宋_GB2312" w:hAnsi="仿宋" w:eastAsia="仿宋_GB2312" w:cs="仿宋"/>
          <w:color w:val="000000"/>
          <w:kern w:val="0"/>
          <w:sz w:val="32"/>
          <w:szCs w:val="32"/>
        </w:rPr>
        <w:t>（一）</w:t>
      </w:r>
      <w:r>
        <w:rPr>
          <w:rFonts w:hint="eastAsia" w:ascii="仿宋_GB2312" w:hAnsi="仿宋_GB2312" w:eastAsia="仿宋_GB2312" w:cs="仿宋_GB2312"/>
          <w:color w:val="000000"/>
          <w:kern w:val="0"/>
          <w:sz w:val="32"/>
          <w:szCs w:val="32"/>
        </w:rPr>
        <w:t>开挖深度超过5m（含5m）的基坑（槽）的土方开挖、支护、降水工程。</w:t>
      </w:r>
    </w:p>
    <w:p w14:paraId="3EDE6314">
      <w:pPr>
        <w:pStyle w:val="7"/>
        <w:snapToGrid w:val="0"/>
        <w:spacing w:line="580" w:lineRule="exact"/>
        <w:ind w:firstLine="63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（二）开挖深度虽未超过5m，但地质条件、周围环境和地下管线复杂，或影响毗邻建筑（构筑物）安全基坑（槽）的土方开挖、高边坡、支护、降水工程。</w:t>
      </w:r>
    </w:p>
    <w:p w14:paraId="67929088">
      <w:pPr>
        <w:pStyle w:val="7"/>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二、模板工程及支撑体系</w:t>
      </w:r>
    </w:p>
    <w:p w14:paraId="090DC726">
      <w:pPr>
        <w:pStyle w:val="7"/>
        <w:snapToGrid w:val="0"/>
        <w:spacing w:line="580" w:lineRule="exact"/>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（一）各类工具式模板工程：包括滑模、爬模、飞模、隧道模等工程。</w:t>
      </w:r>
    </w:p>
    <w:p w14:paraId="13733885">
      <w:pPr>
        <w:pStyle w:val="7"/>
        <w:snapToGrid w:val="0"/>
        <w:spacing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（二）混凝土模板支撑工程：搭设高度</w:t>
      </w:r>
      <w:r>
        <w:rPr>
          <w:rFonts w:ascii="仿宋_GB2312" w:hAnsi="仿宋_GB2312" w:eastAsia="仿宋_GB2312" w:cs="仿宋_GB2312"/>
          <w:color w:val="000000"/>
          <w:kern w:val="0"/>
          <w:sz w:val="32"/>
          <w:szCs w:val="32"/>
        </w:rPr>
        <w:t>8m及以上，或搭设跨度18m及以上，或施工总荷载（设计值）15kN/m</w:t>
      </w:r>
      <w:r>
        <w:rPr>
          <w:rFonts w:ascii="仿宋_GB2312" w:hAnsi="仿宋_GB2312" w:eastAsia="仿宋_GB2312" w:cs="仿宋_GB2312"/>
          <w:color w:val="000000"/>
          <w:kern w:val="0"/>
          <w:sz w:val="32"/>
          <w:szCs w:val="32"/>
          <w:vertAlign w:val="superscript"/>
        </w:rPr>
        <w:t>2</w:t>
      </w:r>
      <w:r>
        <w:rPr>
          <w:rFonts w:hint="eastAsia" w:ascii="仿宋_GB2312" w:hAnsi="仿宋_GB2312" w:eastAsia="仿宋_GB2312" w:cs="仿宋_GB2312"/>
          <w:color w:val="000000"/>
          <w:kern w:val="0"/>
          <w:sz w:val="32"/>
          <w:szCs w:val="32"/>
        </w:rPr>
        <w:t>及以上，或集中线荷载（设计值）</w:t>
      </w:r>
      <w:r>
        <w:rPr>
          <w:rFonts w:ascii="仿宋_GB2312" w:hAnsi="仿宋_GB2312" w:eastAsia="仿宋_GB2312" w:cs="仿宋_GB2312"/>
          <w:color w:val="000000"/>
          <w:kern w:val="0"/>
          <w:sz w:val="32"/>
          <w:szCs w:val="32"/>
        </w:rPr>
        <w:t>20kN/m及以上。</w:t>
      </w:r>
    </w:p>
    <w:p w14:paraId="2D2A4DB1">
      <w:pPr>
        <w:pStyle w:val="7"/>
        <w:snapToGrid w:val="0"/>
        <w:spacing w:line="580" w:lineRule="exact"/>
        <w:rPr>
          <w:rFonts w:ascii="仿宋" w:hAnsi="仿宋" w:eastAsia="仿宋" w:cs="仿宋"/>
          <w:sz w:val="32"/>
          <w:szCs w:val="32"/>
        </w:rPr>
      </w:pPr>
      <w:r>
        <w:rPr>
          <w:rFonts w:hint="eastAsia" w:ascii="仿宋_GB2312" w:hAnsi="仿宋_GB2312" w:eastAsia="仿宋_GB2312" w:cs="仿宋_GB2312"/>
          <w:color w:val="000000"/>
          <w:kern w:val="0"/>
          <w:sz w:val="32"/>
          <w:szCs w:val="32"/>
        </w:rPr>
        <w:t>　　（三）承重支撑体系：用于钢结构安装等满堂支撑体系，承受单点集中荷载</w:t>
      </w:r>
      <w:r>
        <w:rPr>
          <w:rFonts w:ascii="仿宋_GB2312" w:hAnsi="仿宋_GB2312" w:eastAsia="仿宋_GB2312" w:cs="仿宋_GB2312"/>
          <w:color w:val="000000"/>
          <w:kern w:val="0"/>
          <w:sz w:val="32"/>
          <w:szCs w:val="32"/>
        </w:rPr>
        <w:t>7kN及以上。</w:t>
      </w:r>
    </w:p>
    <w:p w14:paraId="25BB8F3E">
      <w:pPr>
        <w:pStyle w:val="7"/>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三、起重吊装及起重机械安装拆卸工程</w:t>
      </w:r>
    </w:p>
    <w:p w14:paraId="2A0E4492">
      <w:pPr>
        <w:pStyle w:val="7"/>
        <w:snapToGrid w:val="0"/>
        <w:spacing w:line="580" w:lineRule="exact"/>
        <w:rPr>
          <w:rFonts w:ascii="仿宋_GB2312" w:hAnsi="仿宋_GB2312" w:eastAsia="仿宋_GB2312" w:cs="仿宋_GB2312"/>
          <w:color w:val="000000"/>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（一）采用非常规起重设备、方法，且单件起吊重量在</w:t>
      </w:r>
      <w:r>
        <w:rPr>
          <w:rFonts w:ascii="仿宋_GB2312" w:hAnsi="仿宋_GB2312" w:eastAsia="仿宋_GB2312" w:cs="仿宋_GB2312"/>
          <w:color w:val="000000"/>
          <w:kern w:val="0"/>
          <w:sz w:val="32"/>
          <w:szCs w:val="32"/>
        </w:rPr>
        <w:t>100kN及以上的起重吊装工程。</w:t>
      </w:r>
    </w:p>
    <w:p w14:paraId="41722452">
      <w:pPr>
        <w:pStyle w:val="7"/>
        <w:snapToGrid w:val="0"/>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（二）起重量</w:t>
      </w:r>
      <w:r>
        <w:rPr>
          <w:rFonts w:ascii="仿宋_GB2312" w:hAnsi="仿宋_GB2312" w:eastAsia="仿宋_GB2312" w:cs="仿宋_GB2312"/>
          <w:color w:val="000000"/>
          <w:kern w:val="0"/>
          <w:sz w:val="32"/>
          <w:szCs w:val="32"/>
        </w:rPr>
        <w:t>300kN及以上，或搭设总高度200m及以上，或搭设基础标高在200m及以上的起重机械安装和拆卸工程。</w:t>
      </w:r>
    </w:p>
    <w:p w14:paraId="058EE1F9">
      <w:pPr>
        <w:pStyle w:val="7"/>
        <w:snapToGrid w:val="0"/>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（三）发生严重变形或事故的起重机械的拆除工程。</w:t>
      </w:r>
    </w:p>
    <w:p w14:paraId="6038769B">
      <w:pPr>
        <w:pStyle w:val="7"/>
        <w:snapToGrid w:val="0"/>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（四）采用高承台、钢结构平台、利用原有建筑结构的特殊基础工程；附着距离达</w:t>
      </w:r>
      <w:r>
        <w:rPr>
          <w:rFonts w:ascii="仿宋_GB2312" w:hAnsi="仿宋_GB2312" w:eastAsia="仿宋_GB2312" w:cs="仿宋_GB2312"/>
          <w:color w:val="000000"/>
          <w:kern w:val="0"/>
          <w:sz w:val="32"/>
          <w:szCs w:val="32"/>
        </w:rPr>
        <w:t>1.5倍制造商的设计最大值、附着杆数量少于制造商的设计数量、附着杆均位于垂直附着面中心线的同一侧的起重机械附着工程，以及附着杆与垂直附着面中心线之间的夹角小于15°或大于65°的塔式起重机附着工程。</w:t>
      </w:r>
    </w:p>
    <w:p w14:paraId="4D4FE765">
      <w:pPr>
        <w:pStyle w:val="7"/>
        <w:snapToGrid w:val="0"/>
        <w:spacing w:line="580" w:lineRule="exact"/>
        <w:ind w:firstLine="640"/>
        <w:rPr>
          <w:rFonts w:ascii="黑体" w:hAnsi="黑体" w:eastAsia="黑体" w:cs="黑体"/>
          <w:color w:val="000000"/>
          <w:sz w:val="32"/>
          <w:szCs w:val="32"/>
        </w:rPr>
      </w:pPr>
      <w:r>
        <w:rPr>
          <w:rFonts w:hint="eastAsia" w:ascii="黑体" w:hAnsi="黑体" w:eastAsia="黑体" w:cs="黑体"/>
          <w:color w:val="000000"/>
          <w:kern w:val="0"/>
          <w:sz w:val="32"/>
          <w:szCs w:val="32"/>
        </w:rPr>
        <w:t>四、脚手架工程</w:t>
      </w:r>
    </w:p>
    <w:p w14:paraId="419E6148">
      <w:pPr>
        <w:pStyle w:val="7"/>
        <w:snapToGrid w:val="0"/>
        <w:spacing w:line="580" w:lineRule="exact"/>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（一）搭设高度</w:t>
      </w:r>
      <w:r>
        <w:rPr>
          <w:rFonts w:ascii="仿宋_GB2312" w:hAnsi="仿宋_GB2312" w:eastAsia="仿宋_GB2312" w:cs="仿宋_GB2312"/>
          <w:color w:val="000000"/>
          <w:kern w:val="0"/>
          <w:sz w:val="32"/>
          <w:szCs w:val="32"/>
        </w:rPr>
        <w:t>50m及以上的落地式钢管脚手架工程。</w:t>
      </w:r>
    </w:p>
    <w:p w14:paraId="53506EC4">
      <w:pPr>
        <w:pStyle w:val="7"/>
        <w:snapToGrid w:val="0"/>
        <w:spacing w:line="580" w:lineRule="exact"/>
        <w:ind w:firstLine="63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（二）提升高度在</w:t>
      </w:r>
      <w:r>
        <w:rPr>
          <w:rFonts w:ascii="仿宋_GB2312" w:hAnsi="仿宋_GB2312" w:eastAsia="仿宋_GB2312" w:cs="仿宋_GB2312"/>
          <w:color w:val="000000"/>
          <w:kern w:val="0"/>
          <w:sz w:val="32"/>
          <w:szCs w:val="32"/>
        </w:rPr>
        <w:t>150m及以上的附着式升降脚手架工程或附着式升降操作平台工程。</w:t>
      </w:r>
    </w:p>
    <w:p w14:paraId="552B0287">
      <w:pPr>
        <w:pStyle w:val="7"/>
        <w:snapToGrid w:val="0"/>
        <w:spacing w:line="580" w:lineRule="exact"/>
        <w:ind w:firstLine="63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（三）分段架体搭设高度</w:t>
      </w:r>
      <w:r>
        <w:rPr>
          <w:rFonts w:ascii="仿宋_GB2312" w:hAnsi="仿宋_GB2312" w:eastAsia="仿宋_GB2312" w:cs="仿宋_GB2312"/>
          <w:color w:val="000000"/>
          <w:kern w:val="0"/>
          <w:sz w:val="32"/>
          <w:szCs w:val="32"/>
        </w:rPr>
        <w:t>20m及以上的悬挑式脚手架工程。</w:t>
      </w:r>
    </w:p>
    <w:p w14:paraId="45A0D669">
      <w:pPr>
        <w:pStyle w:val="7"/>
        <w:snapToGrid w:val="0"/>
        <w:spacing w:line="580" w:lineRule="exact"/>
        <w:ind w:firstLine="63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（四）作业面异形、复杂的或无法按产品说明书要求安装的高处作业吊篮工程。</w:t>
      </w:r>
    </w:p>
    <w:p w14:paraId="1B0371A7">
      <w:pPr>
        <w:pStyle w:val="7"/>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五、拆除工程</w:t>
      </w:r>
    </w:p>
    <w:p w14:paraId="44847984">
      <w:pPr>
        <w:pStyle w:val="7"/>
        <w:snapToGrid w:val="0"/>
        <w:spacing w:line="580" w:lineRule="exact"/>
        <w:rPr>
          <w:rFonts w:hint="eastAsia" w:ascii="仿宋_GB2312" w:hAnsi="仿宋_GB2312" w:eastAsia="仿宋_GB2312" w:cs="仿宋_GB2312"/>
          <w:color w:val="000000"/>
          <w:sz w:val="32"/>
          <w:szCs w:val="32"/>
        </w:rPr>
      </w:pPr>
      <w:r>
        <w:rPr>
          <w:rFonts w:hint="eastAsia" w:ascii="仿宋_GB2312" w:hAnsi="仿宋" w:eastAsia="仿宋_GB2312" w:cs="仿宋"/>
          <w:color w:val="000000"/>
          <w:kern w:val="0"/>
          <w:sz w:val="32"/>
          <w:szCs w:val="32"/>
        </w:rPr>
        <w:t>　　</w:t>
      </w:r>
      <w:r>
        <w:rPr>
          <w:rFonts w:hint="eastAsia" w:ascii="仿宋_GB2312" w:hAnsi="仿宋_GB2312" w:eastAsia="仿宋_GB2312" w:cs="仿宋_GB2312"/>
          <w:color w:val="000000"/>
          <w:kern w:val="0"/>
          <w:sz w:val="32"/>
          <w:szCs w:val="32"/>
        </w:rPr>
        <w:t>（一）码头、桥梁、高架、烟囱、水塔或拆除中容易引起有毒有害气（液）体或粉尘扩散、易燃易爆事故发生的特殊建（构）筑物</w:t>
      </w:r>
      <w:r>
        <w:rPr>
          <w:rFonts w:hint="eastAsia" w:ascii="仿宋_GB2312" w:hAnsi="黑体" w:eastAsia="仿宋_GB2312" w:cs="仿宋_GB2312"/>
          <w:color w:val="000000"/>
          <w:kern w:val="0"/>
          <w:sz w:val="32"/>
          <w:szCs w:val="32"/>
        </w:rPr>
        <w:t>，</w:t>
      </w:r>
      <w:r>
        <w:rPr>
          <w:rFonts w:hint="eastAsia" w:ascii="仿宋_GB2312" w:hAnsi="仿宋_GB2312" w:eastAsia="仿宋_GB2312" w:cs="仿宋_GB2312"/>
          <w:color w:val="000000"/>
          <w:kern w:val="0"/>
          <w:sz w:val="32"/>
          <w:szCs w:val="32"/>
        </w:rPr>
        <w:t>以及周边环境复杂的拆除工程。</w:t>
      </w:r>
    </w:p>
    <w:p w14:paraId="2E295221">
      <w:pPr>
        <w:pStyle w:val="7"/>
        <w:snapToGrid w:val="0"/>
        <w:spacing w:line="580" w:lineRule="exact"/>
        <w:rPr>
          <w:rFonts w:hint="eastAsia" w:ascii="仿宋_GB2312" w:hAnsi="仿宋" w:eastAsia="仿宋_GB2312" w:cs="仿宋"/>
          <w:sz w:val="32"/>
          <w:szCs w:val="32"/>
        </w:rPr>
      </w:pPr>
      <w:r>
        <w:rPr>
          <w:rFonts w:hint="eastAsia" w:ascii="仿宋_GB2312" w:hAnsi="仿宋_GB2312" w:eastAsia="仿宋_GB2312" w:cs="仿宋_GB2312"/>
          <w:color w:val="000000"/>
          <w:kern w:val="0"/>
          <w:sz w:val="32"/>
          <w:szCs w:val="32"/>
        </w:rPr>
        <w:t>　　（二）文物保护建筑、优秀历史建筑或历史文化风貌区影响范围内的拆除工程。</w:t>
      </w:r>
    </w:p>
    <w:p w14:paraId="6BAE98E1">
      <w:pPr>
        <w:pStyle w:val="7"/>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六、暗挖工程</w:t>
      </w:r>
    </w:p>
    <w:p w14:paraId="07B25E7B">
      <w:pPr>
        <w:pStyle w:val="7"/>
        <w:snapToGrid w:val="0"/>
        <w:spacing w:line="580" w:lineRule="exact"/>
        <w:rPr>
          <w:rFonts w:ascii="仿宋_GB2312" w:hAnsi="仿宋_GB2312" w:eastAsia="仿宋_GB2312" w:cs="仿宋_GB2312"/>
          <w:color w:val="000000"/>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采用矿山法、盾构法、顶管法施工的隧道、洞室等工程。</w:t>
      </w:r>
    </w:p>
    <w:p w14:paraId="6379F42E">
      <w:pPr>
        <w:pStyle w:val="7"/>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七、其它</w:t>
      </w:r>
    </w:p>
    <w:p w14:paraId="73D85D20">
      <w:pPr>
        <w:pStyle w:val="7"/>
        <w:snapToGrid w:val="0"/>
        <w:spacing w:line="580" w:lineRule="exact"/>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（一）施工高度</w:t>
      </w:r>
      <w:r>
        <w:rPr>
          <w:rFonts w:ascii="仿宋_GB2312" w:hAnsi="仿宋_GB2312" w:eastAsia="仿宋_GB2312" w:cs="仿宋_GB2312"/>
          <w:color w:val="000000"/>
          <w:kern w:val="0"/>
          <w:sz w:val="32"/>
          <w:szCs w:val="32"/>
        </w:rPr>
        <w:t>50m及以上的建筑幕墙安装工程。</w:t>
      </w:r>
    </w:p>
    <w:p w14:paraId="78C873D0">
      <w:pPr>
        <w:pStyle w:val="7"/>
        <w:snapToGrid w:val="0"/>
        <w:spacing w:line="580" w:lineRule="exact"/>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（二）跨度</w:t>
      </w:r>
      <w:r>
        <w:rPr>
          <w:rFonts w:ascii="仿宋_GB2312" w:hAnsi="仿宋_GB2312" w:eastAsia="仿宋_GB2312" w:cs="仿宋_GB2312"/>
          <w:color w:val="000000"/>
          <w:kern w:val="0"/>
          <w:sz w:val="32"/>
          <w:szCs w:val="32"/>
        </w:rPr>
        <w:t>36m及以上的钢结构安装工程，或跨度60m及以上的网架和索膜结构安装工程。</w:t>
      </w:r>
    </w:p>
    <w:p w14:paraId="47BCE9D2">
      <w:pPr>
        <w:pStyle w:val="7"/>
        <w:snapToGrid w:val="0"/>
        <w:spacing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（三）开挖深度</w:t>
      </w:r>
      <w:r>
        <w:rPr>
          <w:rFonts w:ascii="仿宋_GB2312" w:hAnsi="仿宋_GB2312" w:eastAsia="仿宋_GB2312" w:cs="仿宋_GB2312"/>
          <w:color w:val="000000"/>
          <w:kern w:val="0"/>
          <w:sz w:val="32"/>
          <w:szCs w:val="32"/>
        </w:rPr>
        <w:t>16m及以上的人工挖孔桩工程。</w:t>
      </w:r>
    </w:p>
    <w:p w14:paraId="6EA584A0">
      <w:pPr>
        <w:pStyle w:val="7"/>
        <w:snapToGrid w:val="0"/>
        <w:spacing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（四）水下作业工程。</w:t>
      </w:r>
    </w:p>
    <w:p w14:paraId="713F41D4">
      <w:pPr>
        <w:pStyle w:val="7"/>
        <w:snapToGrid w:val="0"/>
        <w:spacing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（五）重量</w:t>
      </w:r>
      <w:r>
        <w:rPr>
          <w:rFonts w:ascii="仿宋_GB2312" w:hAnsi="仿宋_GB2312" w:eastAsia="仿宋_GB2312" w:cs="仿宋_GB2312"/>
          <w:color w:val="000000"/>
          <w:kern w:val="0"/>
          <w:sz w:val="32"/>
          <w:szCs w:val="32"/>
        </w:rPr>
        <w:t>1000kN及以上的大型结构整体顶升、平移、转体等施工工艺。</w:t>
      </w:r>
    </w:p>
    <w:p w14:paraId="23FC4AD5">
      <w:pPr>
        <w:pStyle w:val="7"/>
        <w:snapToGrid w:val="0"/>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（六）采用新技术、新工艺、新材料、新设备可能影响工程施工安全，尚无国家、行业及地方技术标准的分部分项工程。</w:t>
      </w:r>
    </w:p>
    <w:p w14:paraId="23B545E0">
      <w:pPr>
        <w:pStyle w:val="7"/>
        <w:snapToGrid w:val="0"/>
        <w:spacing w:line="580" w:lineRule="exact"/>
        <w:ind w:firstLine="640" w:firstLineChars="200"/>
        <w:rPr>
          <w:rFonts w:ascii="宋体 ，Arial" w:hAnsi="宋体" w:eastAsia="宋体 ，Arial"/>
          <w:sz w:val="28"/>
          <w:szCs w:val="20"/>
        </w:rPr>
      </w:pPr>
      <w:r>
        <w:rPr>
          <w:rFonts w:hint="eastAsia" w:ascii="仿宋_GB2312" w:hAnsi="仿宋_GB2312" w:eastAsia="仿宋_GB2312" w:cs="仿宋_GB2312"/>
          <w:color w:val="000000"/>
          <w:kern w:val="0"/>
          <w:sz w:val="32"/>
          <w:szCs w:val="32"/>
        </w:rPr>
        <w:t>（七）建设、勘察、设计、施工、监理单位三方以上共同认定或建设主管部门及其委托的安全监督机构认定为超过一定规模的危险性较大的分部分项工程。</w:t>
      </w:r>
    </w:p>
    <w:p w14:paraId="2C766F31">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0000000000000000000"/>
    <w:charset w:val="86"/>
    <w:family w:val="auto"/>
    <w:pitch w:val="default"/>
    <w:sig w:usb0="00000000" w:usb1="00000000" w:usb2="00000010" w:usb3="00000000" w:csb0="0004000F" w:csb1="00000000"/>
  </w:font>
  <w:font w:name="青鸟华光简小标宋">
    <w:altName w:val="宋体"/>
    <w:panose1 w:val="02010604000101010101"/>
    <w:charset w:val="86"/>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体 ，Arial">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MDliYWUwMGI3ZjUyN2MyZTEwMTg5MTVjYmVlOGYifQ=="/>
  </w:docVars>
  <w:rsids>
    <w:rsidRoot w:val="00000000"/>
    <w:rsid w:val="0BC01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adjustRightInd w:val="0"/>
      <w:snapToGrid w:val="0"/>
      <w:spacing w:line="560" w:lineRule="exact"/>
      <w:jc w:val="left"/>
      <w:outlineLvl w:val="0"/>
    </w:pPr>
    <w:rPr>
      <w:rFonts w:hint="eastAsia" w:ascii="宋体" w:hAnsi="宋体" w:eastAsia="CESI仿宋-GB2312" w:cs="Times New Roman"/>
      <w:b/>
      <w:kern w:val="44"/>
      <w:sz w:val="32"/>
      <w:szCs w:val="4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unhideWhenUsed/>
    <w:qFormat/>
    <w:uiPriority w:val="99"/>
    <w:pPr>
      <w:ind w:firstLine="420" w:firstLineChars="100"/>
    </w:pPr>
    <w:rPr>
      <w:sz w:val="21"/>
      <w:szCs w:val="24"/>
    </w:rPr>
  </w:style>
  <w:style w:type="paragraph" w:styleId="3">
    <w:name w:val="Body Text"/>
    <w:basedOn w:val="1"/>
    <w:next w:val="1"/>
    <w:qFormat/>
    <w:uiPriority w:val="0"/>
    <w:pPr>
      <w:jc w:val="center"/>
    </w:pPr>
    <w:rPr>
      <w:rFonts w:ascii="Times New Roman" w:hAnsi="Times New Roman" w:eastAsia="黑体" w:cs="Times New Roman"/>
      <w:sz w:val="44"/>
      <w:szCs w:val="20"/>
    </w:rPr>
  </w:style>
  <w:style w:type="paragraph" w:customStyle="1" w:styleId="7">
    <w:name w:val="普通(网站)1"/>
    <w:basedOn w:val="1"/>
    <w:qFormat/>
    <w:uiPriority w:val="0"/>
    <w:pPr>
      <w:jc w:val="left"/>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MSC</dc:creator>
  <cp:lastModifiedBy>思聪丷</cp:lastModifiedBy>
  <dcterms:modified xsi:type="dcterms:W3CDTF">2024-09-18T08:28:58Z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D234FB8ED75A4BC6B6FF602DDBE07A7E_12</vt:lpwstr>
  </property>
</Properties>
</file>