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10959B">
      <w:pPr>
        <w:spacing w:line="560" w:lineRule="exact"/>
        <w:jc w:val="center"/>
        <w:rPr>
          <w:rFonts w:hint="eastAsia" w:ascii="宋体" w:hAnsi="宋体" w:eastAsia="宋体" w:cs="宋体"/>
          <w:b/>
          <w:bCs/>
          <w:color w:val="auto"/>
          <w:kern w:val="0"/>
          <w:sz w:val="44"/>
          <w:szCs w:val="44"/>
          <w:highlight w:val="none"/>
          <w:lang w:val="en-US" w:eastAsia="zh-CN" w:bidi="ar-SA"/>
        </w:rPr>
      </w:pPr>
      <w:r>
        <w:rPr>
          <w:rFonts w:hint="eastAsia" w:ascii="宋体" w:hAnsi="宋体" w:eastAsia="宋体" w:cs="宋体"/>
          <w:b/>
          <w:bCs/>
          <w:color w:val="auto"/>
          <w:kern w:val="0"/>
          <w:sz w:val="44"/>
          <w:szCs w:val="44"/>
          <w:highlight w:val="none"/>
          <w:lang w:val="en-US" w:eastAsia="zh-CN" w:bidi="ar-SA"/>
        </w:rPr>
        <w:t>湾区新技术新产品展示中心智能化、多媒体</w:t>
      </w:r>
    </w:p>
    <w:p w14:paraId="0ED13618">
      <w:pPr>
        <w:spacing w:line="560" w:lineRule="exact"/>
        <w:jc w:val="center"/>
        <w:rPr>
          <w:rFonts w:asciiTheme="minorEastAsia" w:hAnsiTheme="minorEastAsia"/>
          <w:b/>
          <w:bCs/>
          <w:color w:val="auto"/>
          <w:sz w:val="44"/>
          <w:szCs w:val="44"/>
          <w:highlight w:val="none"/>
        </w:rPr>
      </w:pPr>
      <w:r>
        <w:rPr>
          <w:rFonts w:hint="eastAsia" w:ascii="宋体" w:hAnsi="宋体" w:eastAsia="宋体" w:cs="宋体"/>
          <w:b/>
          <w:bCs/>
          <w:color w:val="auto"/>
          <w:kern w:val="0"/>
          <w:sz w:val="44"/>
          <w:szCs w:val="44"/>
          <w:highlight w:val="none"/>
          <w:lang w:val="en-US" w:eastAsia="zh-CN" w:bidi="ar-SA"/>
        </w:rPr>
        <w:t>硬件维保服务</w:t>
      </w:r>
      <w:r>
        <w:rPr>
          <w:rFonts w:asciiTheme="minorEastAsia" w:hAnsiTheme="minorEastAsia"/>
          <w:b/>
          <w:bCs/>
          <w:color w:val="auto"/>
          <w:sz w:val="44"/>
          <w:szCs w:val="44"/>
          <w:highlight w:val="none"/>
        </w:rPr>
        <w:t>需求书</w:t>
      </w:r>
    </w:p>
    <w:p w14:paraId="6410A82A">
      <w:pPr>
        <w:pStyle w:val="2"/>
        <w:keepNext w:val="0"/>
        <w:keepLines w:val="0"/>
        <w:pageBreakBefore w:val="0"/>
        <w:kinsoku/>
        <w:wordWrap/>
        <w:overflowPunct/>
        <w:topLinePunct w:val="0"/>
        <w:autoSpaceDE/>
        <w:autoSpaceDN/>
        <w:bidi w:val="0"/>
        <w:spacing w:line="560" w:lineRule="exact"/>
        <w:ind w:left="0" w:firstLine="640" w:firstLineChars="200"/>
        <w:textAlignment w:val="auto"/>
        <w:rPr>
          <w:rFonts w:hint="eastAsia" w:ascii="仿宋" w:hAnsi="仿宋" w:eastAsia="仿宋" w:cs="仿宋"/>
          <w:color w:val="auto"/>
          <w:kern w:val="2"/>
          <w:sz w:val="32"/>
          <w:szCs w:val="32"/>
          <w:highlight w:val="none"/>
          <w:lang w:val="en-US" w:eastAsia="zh-CN" w:bidi="ar-SA"/>
        </w:rPr>
      </w:pPr>
    </w:p>
    <w:p w14:paraId="7956835F">
      <w:pPr>
        <w:keepNext w:val="0"/>
        <w:keepLines w:val="0"/>
        <w:pageBreakBefore w:val="0"/>
        <w:widowControl w:val="0"/>
        <w:kinsoku/>
        <w:wordWrap/>
        <w:overflowPunct/>
        <w:topLinePunct w:val="0"/>
        <w:autoSpaceDE/>
        <w:autoSpaceDN/>
        <w:bidi w:val="0"/>
        <w:spacing w:line="560" w:lineRule="exact"/>
        <w:ind w:left="0" w:firstLine="640" w:firstLineChars="200"/>
        <w:textAlignment w:val="auto"/>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一、项目概况</w:t>
      </w:r>
    </w:p>
    <w:p w14:paraId="11A13BB3">
      <w:pPr>
        <w:keepNext w:val="0"/>
        <w:keepLines w:val="0"/>
        <w:pageBreakBefore w:val="0"/>
        <w:widowControl w:val="0"/>
        <w:kinsoku/>
        <w:wordWrap/>
        <w:overflowPunct/>
        <w:topLinePunct w:val="0"/>
        <w:autoSpaceDE/>
        <w:autoSpaceDN/>
        <w:bidi w:val="0"/>
        <w:spacing w:line="560" w:lineRule="exact"/>
        <w:ind w:left="0" w:firstLine="643" w:firstLineChars="200"/>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1.项目名称：</w:t>
      </w:r>
      <w:r>
        <w:rPr>
          <w:rFonts w:hint="eastAsia" w:ascii="仿宋" w:hAnsi="仿宋" w:eastAsia="仿宋" w:cs="仿宋"/>
          <w:color w:val="auto"/>
          <w:sz w:val="32"/>
          <w:szCs w:val="32"/>
          <w:highlight w:val="none"/>
        </w:rPr>
        <w:t>湾区新技术新产品展示中心</w:t>
      </w:r>
      <w:r>
        <w:rPr>
          <w:rFonts w:hint="eastAsia" w:ascii="仿宋" w:hAnsi="仿宋" w:eastAsia="仿宋" w:cs="仿宋"/>
          <w:color w:val="auto"/>
          <w:sz w:val="32"/>
          <w:szCs w:val="32"/>
          <w:highlight w:val="none"/>
          <w:lang w:val="en-US" w:eastAsia="zh-CN"/>
        </w:rPr>
        <w:t>智能化、多媒体硬件维保服务</w:t>
      </w:r>
    </w:p>
    <w:p w14:paraId="37F85722">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textAlignment w:val="auto"/>
        <w:rPr>
          <w:rFonts w:hint="default" w:ascii="仿宋" w:hAnsi="仿宋" w:eastAsia="仿宋"/>
          <w:b/>
          <w:bCs/>
          <w:color w:val="auto"/>
          <w:sz w:val="32"/>
          <w:szCs w:val="32"/>
          <w:highlight w:val="none"/>
          <w:lang w:val="en-US" w:eastAsia="zh-CN"/>
        </w:rPr>
      </w:pPr>
      <w:r>
        <w:rPr>
          <w:rFonts w:hint="eastAsia" w:ascii="仿宋" w:hAnsi="仿宋" w:eastAsia="仿宋"/>
          <w:b/>
          <w:bCs/>
          <w:color w:val="auto"/>
          <w:sz w:val="32"/>
          <w:szCs w:val="32"/>
          <w:highlight w:val="none"/>
          <w:lang w:val="en-US" w:eastAsia="zh-CN"/>
        </w:rPr>
        <w:t>2.项目计划采购金额：</w:t>
      </w:r>
      <w:r>
        <w:rPr>
          <w:rFonts w:hint="eastAsia" w:ascii="仿宋" w:hAnsi="仿宋" w:eastAsia="仿宋" w:cs="仿宋"/>
          <w:color w:val="auto"/>
          <w:sz w:val="32"/>
          <w:szCs w:val="32"/>
          <w:highlight w:val="none"/>
          <w:lang w:val="en-US" w:eastAsia="zh-CN"/>
        </w:rPr>
        <w:t>不超过人民币33万元（含税）</w:t>
      </w:r>
    </w:p>
    <w:p w14:paraId="48C9057A">
      <w:pPr>
        <w:keepNext w:val="0"/>
        <w:keepLines w:val="0"/>
        <w:pageBreakBefore w:val="0"/>
        <w:widowControl w:val="0"/>
        <w:kinsoku/>
        <w:wordWrap/>
        <w:overflowPunct/>
        <w:topLinePunct w:val="0"/>
        <w:autoSpaceDE/>
        <w:autoSpaceDN/>
        <w:bidi w:val="0"/>
        <w:spacing w:line="560" w:lineRule="exact"/>
        <w:ind w:left="0" w:firstLine="643" w:firstLineChars="200"/>
        <w:textAlignment w:val="auto"/>
        <w:rPr>
          <w:rFonts w:ascii="黑体" w:hAnsi="黑体" w:eastAsia="黑体" w:cs="黑体"/>
          <w:color w:val="auto"/>
          <w:sz w:val="32"/>
          <w:szCs w:val="32"/>
          <w:highlight w:val="none"/>
        </w:rPr>
      </w:pPr>
      <w:r>
        <w:rPr>
          <w:rFonts w:hint="eastAsia" w:ascii="仿宋" w:hAnsi="仿宋" w:eastAsia="仿宋"/>
          <w:b/>
          <w:bCs/>
          <w:color w:val="auto"/>
          <w:sz w:val="32"/>
          <w:szCs w:val="32"/>
          <w:highlight w:val="none"/>
          <w:lang w:val="en-US" w:eastAsia="zh-CN"/>
        </w:rPr>
        <w:t>3</w:t>
      </w:r>
      <w:r>
        <w:rPr>
          <w:rFonts w:hint="eastAsia" w:ascii="仿宋" w:hAnsi="仿宋" w:eastAsia="仿宋"/>
          <w:b/>
          <w:bCs/>
          <w:color w:val="auto"/>
          <w:sz w:val="32"/>
          <w:szCs w:val="32"/>
          <w:highlight w:val="none"/>
        </w:rPr>
        <w:t>.项目基本概况：</w:t>
      </w:r>
      <w:r>
        <w:rPr>
          <w:rFonts w:hint="eastAsia" w:ascii="仿宋" w:hAnsi="仿宋" w:eastAsia="仿宋" w:cs="仿宋"/>
          <w:color w:val="auto"/>
          <w:sz w:val="32"/>
          <w:szCs w:val="32"/>
          <w:highlight w:val="none"/>
        </w:rPr>
        <w:t>湾区新技术新产品展示中心（下称湾区展示中心）是深圳市第一个集产品展示、技术成果转移转化、知识产权保护于一体的展示服务平台。</w:t>
      </w:r>
    </w:p>
    <w:p w14:paraId="534952E6">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textAlignment w:val="auto"/>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w:t>
      </w:r>
      <w:r>
        <w:rPr>
          <w:rFonts w:hint="eastAsia" w:ascii="楷体" w:hAnsi="楷体" w:eastAsia="楷体" w:cs="楷体"/>
          <w:b/>
          <w:bCs/>
          <w:color w:val="auto"/>
          <w:sz w:val="32"/>
          <w:szCs w:val="32"/>
          <w:highlight w:val="none"/>
          <w:lang w:eastAsia="zh-CN"/>
        </w:rPr>
        <w:t>一</w:t>
      </w:r>
      <w:r>
        <w:rPr>
          <w:rFonts w:hint="eastAsia" w:ascii="楷体" w:hAnsi="楷体" w:eastAsia="楷体" w:cs="楷体"/>
          <w:b/>
          <w:bCs/>
          <w:color w:val="auto"/>
          <w:sz w:val="32"/>
          <w:szCs w:val="32"/>
          <w:highlight w:val="none"/>
        </w:rPr>
        <w:t>）服务期限</w:t>
      </w:r>
    </w:p>
    <w:p w14:paraId="3D769A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rPr>
        <w:t>本项目合同履行期限：本项目</w:t>
      </w:r>
      <w:r>
        <w:rPr>
          <w:rFonts w:hint="eastAsia" w:ascii="仿宋" w:hAnsi="仿宋" w:eastAsia="仿宋" w:cs="仿宋"/>
          <w:color w:val="auto"/>
          <w:sz w:val="32"/>
          <w:szCs w:val="32"/>
          <w:lang w:eastAsia="zh-CN"/>
        </w:rPr>
        <w:t>为长期服务项目，</w:t>
      </w:r>
      <w:r>
        <w:rPr>
          <w:rFonts w:hint="eastAsia" w:ascii="仿宋" w:hAnsi="仿宋" w:eastAsia="仿宋" w:cs="仿宋"/>
          <w:color w:val="auto"/>
          <w:sz w:val="32"/>
          <w:szCs w:val="32"/>
        </w:rPr>
        <w:t>服务期限为12个月，服务起始时间以合同约定日期为准。</w:t>
      </w:r>
    </w:p>
    <w:p w14:paraId="0DAA24B7">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楷体" w:hAnsi="楷体" w:eastAsia="楷体" w:cs="楷体"/>
          <w:b/>
          <w:bCs/>
          <w:color w:val="auto"/>
          <w:sz w:val="32"/>
          <w:szCs w:val="32"/>
          <w:highlight w:val="none"/>
          <w:lang w:val="en-US"/>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本项目合同履行期限满后，采购单位可根据服务单位履约情况及工作需要确定是否续签合同，但总合同履行期限最长不超过</w:t>
      </w:r>
      <w:r>
        <w:rPr>
          <w:rFonts w:hint="eastAsia" w:ascii="仿宋" w:hAnsi="仿宋" w:eastAsia="仿宋" w:cs="仿宋"/>
          <w:color w:val="auto"/>
          <w:sz w:val="32"/>
          <w:szCs w:val="32"/>
          <w:highlight w:val="none"/>
          <w:lang w:val="en-US" w:eastAsia="zh-CN"/>
        </w:rPr>
        <w:t>36个月</w:t>
      </w:r>
      <w:r>
        <w:rPr>
          <w:rFonts w:hint="eastAsia" w:ascii="仿宋" w:hAnsi="仿宋" w:eastAsia="仿宋" w:cs="仿宋"/>
          <w:color w:val="auto"/>
          <w:sz w:val="32"/>
          <w:szCs w:val="32"/>
          <w:highlight w:val="none"/>
        </w:rPr>
        <w:t>，第一年为本次招标的中标合同履行期限，后续合同原则上一年一签，最多可续签两次。续签合同的各项费用原则上按照本项目中标价执行。</w:t>
      </w:r>
    </w:p>
    <w:p w14:paraId="46C4EB97">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textAlignment w:val="auto"/>
        <w:rPr>
          <w:rFonts w:hint="eastAsia" w:ascii="楷体" w:hAnsi="楷体" w:eastAsia="楷体" w:cs="楷体"/>
          <w:b/>
          <w:bCs/>
          <w:color w:val="auto"/>
          <w:sz w:val="32"/>
          <w:szCs w:val="32"/>
          <w:highlight w:val="none"/>
          <w:u w:val="single"/>
          <w:lang w:eastAsia="zh-CN"/>
        </w:rPr>
      </w:pPr>
      <w:r>
        <w:rPr>
          <w:rFonts w:ascii="楷体" w:hAnsi="楷体" w:eastAsia="楷体" w:cs="楷体"/>
          <w:b/>
          <w:bCs/>
          <w:color w:val="auto"/>
          <w:sz w:val="32"/>
          <w:szCs w:val="32"/>
          <w:highlight w:val="none"/>
        </w:rPr>
        <w:t>（</w:t>
      </w:r>
      <w:r>
        <w:rPr>
          <w:rFonts w:hint="eastAsia" w:ascii="楷体" w:hAnsi="楷体" w:eastAsia="楷体" w:cs="楷体"/>
          <w:b/>
          <w:bCs/>
          <w:color w:val="auto"/>
          <w:sz w:val="32"/>
          <w:szCs w:val="32"/>
          <w:highlight w:val="none"/>
          <w:lang w:eastAsia="zh-CN"/>
        </w:rPr>
        <w:t>二</w:t>
      </w:r>
      <w:r>
        <w:rPr>
          <w:rFonts w:ascii="楷体" w:hAnsi="楷体" w:eastAsia="楷体" w:cs="楷体"/>
          <w:b/>
          <w:bCs/>
          <w:color w:val="auto"/>
          <w:sz w:val="32"/>
          <w:szCs w:val="32"/>
          <w:highlight w:val="none"/>
        </w:rPr>
        <w:t>）服务</w:t>
      </w:r>
      <w:r>
        <w:rPr>
          <w:rFonts w:hint="eastAsia" w:ascii="楷体" w:hAnsi="楷体" w:eastAsia="楷体" w:cs="楷体"/>
          <w:b/>
          <w:bCs/>
          <w:color w:val="auto"/>
          <w:sz w:val="32"/>
          <w:szCs w:val="32"/>
          <w:highlight w:val="none"/>
        </w:rPr>
        <w:t>内容</w:t>
      </w:r>
      <w:r>
        <w:rPr>
          <w:rFonts w:hint="eastAsia" w:ascii="楷体" w:hAnsi="楷体" w:eastAsia="楷体" w:cs="楷体"/>
          <w:b/>
          <w:bCs/>
          <w:color w:val="auto"/>
          <w:sz w:val="32"/>
          <w:szCs w:val="32"/>
          <w:highlight w:val="none"/>
          <w:lang w:eastAsia="zh-CN"/>
        </w:rPr>
        <w:t>及要求</w:t>
      </w:r>
    </w:p>
    <w:p w14:paraId="788AFBAF">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1.</w:t>
      </w:r>
      <w:r>
        <w:rPr>
          <w:rFonts w:hint="eastAsia" w:ascii="仿宋" w:hAnsi="仿宋" w:eastAsia="仿宋" w:cs="仿宋"/>
          <w:b/>
          <w:bCs/>
          <w:color w:val="auto"/>
          <w:sz w:val="32"/>
          <w:szCs w:val="32"/>
          <w:highlight w:val="none"/>
        </w:rPr>
        <w:t>服务范围</w:t>
      </w:r>
    </w:p>
    <w:p w14:paraId="6BC9525A">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本项目为湾区展示中心智能化和多媒体硬件维保服务工作，主要负责湾区展示中心智能化</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多媒体系统硬件的维修维护、保修及保养等工作。</w:t>
      </w:r>
    </w:p>
    <w:p w14:paraId="5179F956">
      <w:pPr>
        <w:pStyle w:val="2"/>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（2）项目包含</w:t>
      </w:r>
      <w:r>
        <w:rPr>
          <w:rFonts w:hint="eastAsia" w:ascii="仿宋" w:hAnsi="仿宋" w:eastAsia="仿宋" w:cs="仿宋"/>
          <w:color w:val="auto"/>
          <w:sz w:val="32"/>
          <w:szCs w:val="32"/>
          <w:highlight w:val="none"/>
        </w:rPr>
        <w:t>设备范围内的维修、维护、保养、检修、紧急故障处理、设备零配件的更换。</w:t>
      </w:r>
    </w:p>
    <w:p w14:paraId="40942FFE">
      <w:pPr>
        <w:pStyle w:val="2"/>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若单个设备</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含空调设备</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 xml:space="preserve">维修或更换配件的费用在 </w:t>
      </w:r>
      <w:r>
        <w:rPr>
          <w:rFonts w:hint="eastAsia" w:ascii="仿宋" w:hAnsi="仿宋" w:eastAsia="仿宋" w:cs="仿宋"/>
          <w:color w:val="auto"/>
          <w:sz w:val="32"/>
          <w:szCs w:val="32"/>
          <w:highlight w:val="none"/>
          <w:lang w:val="en-US" w:eastAsia="zh-CN"/>
        </w:rPr>
        <w:t>15</w:t>
      </w:r>
      <w:r>
        <w:rPr>
          <w:rFonts w:hint="eastAsia" w:ascii="仿宋" w:hAnsi="仿宋" w:eastAsia="仿宋" w:cs="仿宋"/>
          <w:color w:val="auto"/>
          <w:sz w:val="32"/>
          <w:szCs w:val="32"/>
          <w:highlight w:val="none"/>
        </w:rPr>
        <w:t>00以内（含</w:t>
      </w:r>
      <w:r>
        <w:rPr>
          <w:rFonts w:hint="eastAsia" w:ascii="仿宋" w:hAnsi="仿宋" w:eastAsia="仿宋" w:cs="仿宋"/>
          <w:color w:val="auto"/>
          <w:sz w:val="32"/>
          <w:szCs w:val="32"/>
          <w:highlight w:val="none"/>
          <w:lang w:val="en-US" w:eastAsia="zh-CN"/>
        </w:rPr>
        <w:t>15</w:t>
      </w:r>
      <w:r>
        <w:rPr>
          <w:rFonts w:hint="eastAsia" w:ascii="仿宋" w:hAnsi="仿宋" w:eastAsia="仿宋" w:cs="仿宋"/>
          <w:color w:val="auto"/>
          <w:sz w:val="32"/>
          <w:szCs w:val="32"/>
          <w:highlight w:val="none"/>
        </w:rPr>
        <w:t>00元）由</w:t>
      </w:r>
      <w:r>
        <w:rPr>
          <w:rFonts w:hint="eastAsia" w:ascii="仿宋" w:hAnsi="仿宋" w:eastAsia="仿宋" w:cs="仿宋"/>
          <w:color w:val="auto"/>
          <w:sz w:val="32"/>
          <w:szCs w:val="32"/>
          <w:highlight w:val="none"/>
          <w:lang w:val="en-US" w:eastAsia="zh-CN"/>
        </w:rPr>
        <w:t>供应商</w:t>
      </w:r>
      <w:r>
        <w:rPr>
          <w:rFonts w:hint="eastAsia" w:ascii="仿宋" w:hAnsi="仿宋" w:eastAsia="仿宋" w:cs="仿宋"/>
          <w:color w:val="auto"/>
          <w:sz w:val="32"/>
          <w:szCs w:val="32"/>
          <w:highlight w:val="none"/>
        </w:rPr>
        <w:t>承担，超出</w:t>
      </w:r>
      <w:r>
        <w:rPr>
          <w:rFonts w:hint="eastAsia" w:ascii="仿宋" w:hAnsi="仿宋" w:eastAsia="仿宋" w:cs="仿宋"/>
          <w:color w:val="auto"/>
          <w:sz w:val="32"/>
          <w:szCs w:val="32"/>
          <w:highlight w:val="none"/>
          <w:lang w:val="en-US" w:eastAsia="zh-CN"/>
        </w:rPr>
        <w:t>1500元</w:t>
      </w:r>
      <w:r>
        <w:rPr>
          <w:rFonts w:hint="eastAsia" w:ascii="仿宋" w:hAnsi="仿宋" w:eastAsia="仿宋" w:cs="仿宋"/>
          <w:color w:val="auto"/>
          <w:sz w:val="32"/>
          <w:szCs w:val="32"/>
          <w:highlight w:val="none"/>
        </w:rPr>
        <w:t>以上由</w:t>
      </w:r>
      <w:r>
        <w:rPr>
          <w:rFonts w:hint="eastAsia" w:ascii="仿宋" w:hAnsi="仿宋" w:eastAsia="仿宋" w:cs="仿宋"/>
          <w:color w:val="auto"/>
          <w:sz w:val="32"/>
          <w:szCs w:val="32"/>
          <w:highlight w:val="none"/>
          <w:lang w:eastAsia="zh-CN"/>
        </w:rPr>
        <w:t>采购方</w:t>
      </w:r>
      <w:r>
        <w:rPr>
          <w:rFonts w:hint="eastAsia" w:ascii="仿宋" w:hAnsi="仿宋" w:eastAsia="仿宋" w:cs="仿宋"/>
          <w:color w:val="auto"/>
          <w:sz w:val="32"/>
          <w:szCs w:val="32"/>
          <w:highlight w:val="none"/>
        </w:rPr>
        <w:t>承担，</w:t>
      </w:r>
      <w:r>
        <w:rPr>
          <w:rFonts w:hint="eastAsia" w:ascii="仿宋" w:hAnsi="仿宋" w:eastAsia="仿宋" w:cs="仿宋"/>
          <w:color w:val="auto"/>
          <w:sz w:val="32"/>
          <w:szCs w:val="32"/>
          <w:highlight w:val="none"/>
          <w:lang w:val="en-US" w:eastAsia="zh-CN"/>
        </w:rPr>
        <w:t>供应商</w:t>
      </w:r>
      <w:r>
        <w:rPr>
          <w:rFonts w:hint="eastAsia" w:ascii="仿宋" w:hAnsi="仿宋" w:eastAsia="仿宋" w:cs="仿宋"/>
          <w:color w:val="auto"/>
          <w:sz w:val="32"/>
          <w:szCs w:val="32"/>
          <w:highlight w:val="none"/>
        </w:rPr>
        <w:t>负责对采购的配件进行安装调试</w:t>
      </w:r>
      <w:r>
        <w:rPr>
          <w:rFonts w:hint="eastAsia" w:ascii="仿宋" w:hAnsi="仿宋" w:eastAsia="仿宋" w:cs="仿宋"/>
          <w:color w:val="auto"/>
          <w:sz w:val="32"/>
          <w:szCs w:val="32"/>
          <w:highlight w:val="none"/>
          <w:lang w:eastAsia="zh-CN"/>
        </w:rPr>
        <w:t>。</w:t>
      </w:r>
    </w:p>
    <w:p w14:paraId="52C4AE7B">
      <w:pPr>
        <w:keepNext w:val="0"/>
        <w:keepLines w:val="0"/>
        <w:pageBreakBefore w:val="0"/>
        <w:widowControl w:val="0"/>
        <w:kinsoku/>
        <w:wordWrap/>
        <w:overflowPunct/>
        <w:topLinePunct w:val="0"/>
        <w:autoSpaceDE/>
        <w:autoSpaceDN/>
        <w:bidi w:val="0"/>
        <w:spacing w:line="560" w:lineRule="exact"/>
        <w:ind w:left="0"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（4）因</w:t>
      </w:r>
      <w:r>
        <w:rPr>
          <w:rFonts w:hint="eastAsia" w:ascii="仿宋" w:hAnsi="仿宋" w:eastAsia="仿宋" w:cs="仿宋"/>
          <w:color w:val="auto"/>
          <w:sz w:val="32"/>
          <w:szCs w:val="32"/>
          <w:highlight w:val="none"/>
        </w:rPr>
        <w:t>不可抗力因素</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如发生火灾、电压不稳定、人为</w:t>
      </w:r>
      <w:r>
        <w:rPr>
          <w:rFonts w:hint="eastAsia" w:ascii="仿宋" w:hAnsi="仿宋" w:eastAsia="仿宋" w:cs="仿宋"/>
          <w:color w:val="auto"/>
          <w:sz w:val="32"/>
          <w:szCs w:val="32"/>
          <w:highlight w:val="none"/>
          <w:lang w:val="en-US" w:eastAsia="zh-CN"/>
        </w:rPr>
        <w:t>破坏</w:t>
      </w:r>
      <w:r>
        <w:rPr>
          <w:rFonts w:hint="eastAsia" w:ascii="仿宋" w:hAnsi="仿宋" w:eastAsia="仿宋" w:cs="仿宋"/>
          <w:color w:val="auto"/>
          <w:sz w:val="32"/>
          <w:szCs w:val="32"/>
          <w:highlight w:val="none"/>
        </w:rPr>
        <w:t>等</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导致大面积设备烧坏</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更换维修费用支出超过本合同</w:t>
      </w:r>
      <w:r>
        <w:rPr>
          <w:rFonts w:hint="eastAsia" w:ascii="仿宋" w:hAnsi="仿宋" w:eastAsia="仿宋" w:cs="仿宋"/>
          <w:color w:val="auto"/>
          <w:kern w:val="2"/>
          <w:sz w:val="32"/>
          <w:szCs w:val="32"/>
          <w:highlight w:val="none"/>
          <w:lang w:val="en-US" w:eastAsia="zh-CN" w:bidi="ar-SA"/>
        </w:rPr>
        <w:t>金额50%，</w:t>
      </w:r>
      <w:r>
        <w:rPr>
          <w:rFonts w:hint="eastAsia" w:ascii="仿宋" w:hAnsi="仿宋" w:eastAsia="仿宋" w:cs="仿宋"/>
          <w:color w:val="auto"/>
          <w:sz w:val="32"/>
          <w:szCs w:val="32"/>
          <w:highlight w:val="none"/>
          <w:lang w:val="en-US" w:eastAsia="zh-CN"/>
        </w:rPr>
        <w:t>需</w:t>
      </w:r>
      <w:r>
        <w:rPr>
          <w:rFonts w:hint="eastAsia" w:ascii="仿宋" w:hAnsi="仿宋" w:eastAsia="仿宋" w:cs="仿宋"/>
          <w:color w:val="auto"/>
          <w:sz w:val="32"/>
          <w:szCs w:val="32"/>
          <w:highlight w:val="none"/>
        </w:rPr>
        <w:t>协商处理费用。</w:t>
      </w:r>
    </w:p>
    <w:p w14:paraId="06455621">
      <w:pPr>
        <w:keepNext w:val="0"/>
        <w:keepLines w:val="0"/>
        <w:pageBreakBefore w:val="0"/>
        <w:widowControl w:val="0"/>
        <w:kinsoku/>
        <w:wordWrap/>
        <w:overflowPunct/>
        <w:topLinePunct w:val="0"/>
        <w:autoSpaceDE/>
        <w:autoSpaceDN/>
        <w:bidi w:val="0"/>
        <w:spacing w:line="560" w:lineRule="exact"/>
        <w:ind w:left="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该项目维保服务总的配件更换总支出不超过项目合同总金额的</w:t>
      </w:r>
      <w:r>
        <w:rPr>
          <w:rFonts w:hint="eastAsia" w:ascii="仿宋" w:hAnsi="仿宋" w:eastAsia="仿宋" w:cs="仿宋"/>
          <w:color w:val="auto"/>
          <w:kern w:val="2"/>
          <w:sz w:val="32"/>
          <w:szCs w:val="32"/>
          <w:highlight w:val="none"/>
          <w:lang w:val="en-US" w:eastAsia="zh-CN" w:bidi="ar-SA"/>
        </w:rPr>
        <w:t>50%</w:t>
      </w:r>
      <w:r>
        <w:rPr>
          <w:rFonts w:hint="eastAsia" w:ascii="仿宋" w:hAnsi="仿宋" w:eastAsia="仿宋" w:cs="仿宋"/>
          <w:color w:val="auto"/>
          <w:sz w:val="32"/>
          <w:szCs w:val="32"/>
          <w:highlight w:val="none"/>
        </w:rPr>
        <w:t>，超出部分设备维修或配件更换费用由</w:t>
      </w:r>
      <w:r>
        <w:rPr>
          <w:rFonts w:hint="eastAsia" w:ascii="仿宋" w:hAnsi="仿宋" w:eastAsia="仿宋" w:cs="仿宋"/>
          <w:color w:val="auto"/>
          <w:sz w:val="32"/>
          <w:szCs w:val="32"/>
          <w:highlight w:val="none"/>
          <w:lang w:eastAsia="zh-CN"/>
        </w:rPr>
        <w:t>采购方</w:t>
      </w:r>
      <w:r>
        <w:rPr>
          <w:rFonts w:hint="eastAsia" w:ascii="仿宋" w:hAnsi="仿宋" w:eastAsia="仿宋" w:cs="仿宋"/>
          <w:color w:val="auto"/>
          <w:sz w:val="32"/>
          <w:szCs w:val="32"/>
          <w:highlight w:val="none"/>
        </w:rPr>
        <w:t>另行支付</w:t>
      </w:r>
      <w:r>
        <w:rPr>
          <w:rFonts w:hint="eastAsia" w:ascii="仿宋" w:hAnsi="仿宋" w:eastAsia="仿宋" w:cs="仿宋"/>
          <w:color w:val="auto"/>
          <w:sz w:val="32"/>
          <w:szCs w:val="32"/>
          <w:highlight w:val="none"/>
          <w:lang w:eastAsia="zh-CN"/>
        </w:rPr>
        <w:t>。</w:t>
      </w:r>
    </w:p>
    <w:p w14:paraId="78FE35BE">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rPr>
        <w:t>维保服务主要内容</w:t>
      </w:r>
    </w:p>
    <w:p w14:paraId="73C7340E">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在满足原设计方案的相关需求下，服务单位对整个智能化系统建立科学有效且符合采购方运营状况的维保管养制度</w:t>
      </w:r>
      <w:r>
        <w:rPr>
          <w:rFonts w:hint="eastAsia" w:ascii="仿宋" w:hAnsi="仿宋" w:eastAsia="仿宋" w:cs="仿宋"/>
          <w:color w:val="auto"/>
          <w:sz w:val="32"/>
          <w:szCs w:val="32"/>
          <w:highlight w:val="none"/>
          <w:lang w:eastAsia="zh-CN"/>
        </w:rPr>
        <w:t>。</w:t>
      </w:r>
    </w:p>
    <w:p w14:paraId="759A044A">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提前发现问题、消除隐患，及时修复相关故障</w:t>
      </w:r>
      <w:r>
        <w:rPr>
          <w:rFonts w:hint="eastAsia" w:ascii="仿宋" w:hAnsi="仿宋" w:eastAsia="仿宋" w:cs="仿宋"/>
          <w:color w:val="auto"/>
          <w:sz w:val="32"/>
          <w:szCs w:val="32"/>
          <w:highlight w:val="none"/>
          <w:lang w:eastAsia="zh-CN"/>
        </w:rPr>
        <w:t>。</w:t>
      </w:r>
    </w:p>
    <w:p w14:paraId="1BFB4D3B">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保障系统稳定工作，确保展馆的正常运作。</w:t>
      </w:r>
    </w:p>
    <w:p w14:paraId="11F73B08">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3.保修服务</w:t>
      </w:r>
    </w:p>
    <w:p w14:paraId="54C34150">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日常报修响应：维保期内设备出现任何缺陷或问题，供应商应在接到采购方通知之时起8小时内响应并派技术人员到达现场进行维修或根据情况进行免费更换</w:t>
      </w:r>
      <w:r>
        <w:rPr>
          <w:rFonts w:hint="eastAsia" w:ascii="仿宋" w:hAnsi="仿宋" w:eastAsia="仿宋" w:cs="仿宋"/>
          <w:color w:val="auto"/>
          <w:sz w:val="32"/>
          <w:szCs w:val="32"/>
          <w:highlight w:val="none"/>
          <w:lang w:eastAsia="zh-CN"/>
        </w:rPr>
        <w:t>。</w:t>
      </w:r>
    </w:p>
    <w:p w14:paraId="36BE4897">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供应商有义务对采购方使用过程中所遇到的问题给予指导和帮助</w:t>
      </w:r>
      <w:r>
        <w:rPr>
          <w:rFonts w:hint="eastAsia" w:ascii="仿宋" w:hAnsi="仿宋" w:eastAsia="仿宋" w:cs="仿宋"/>
          <w:color w:val="auto"/>
          <w:sz w:val="32"/>
          <w:szCs w:val="32"/>
          <w:highlight w:val="none"/>
          <w:lang w:eastAsia="zh-CN"/>
        </w:rPr>
        <w:t>。</w:t>
      </w:r>
    </w:p>
    <w:p w14:paraId="6F5A4A4A">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在保修期内，如果设备在3日内不能维修好的，供应商应当</w:t>
      </w:r>
      <w:r>
        <w:rPr>
          <w:rFonts w:hint="eastAsia" w:ascii="仿宋" w:hAnsi="仿宋" w:eastAsia="仿宋" w:cs="仿宋"/>
          <w:color w:val="auto"/>
          <w:sz w:val="32"/>
          <w:szCs w:val="32"/>
          <w:highlight w:val="none"/>
          <w:lang w:eastAsia="zh-CN"/>
        </w:rPr>
        <w:t>在</w:t>
      </w:r>
      <w:r>
        <w:rPr>
          <w:rFonts w:hint="eastAsia" w:ascii="仿宋" w:hAnsi="仿宋" w:eastAsia="仿宋" w:cs="仿宋"/>
          <w:color w:val="auto"/>
          <w:sz w:val="32"/>
          <w:szCs w:val="32"/>
          <w:highlight w:val="none"/>
          <w:lang w:val="en-US" w:eastAsia="zh-CN"/>
        </w:rPr>
        <w:t>3日内及时</w:t>
      </w:r>
      <w:r>
        <w:rPr>
          <w:rFonts w:hint="eastAsia" w:ascii="仿宋" w:hAnsi="仿宋" w:eastAsia="仿宋" w:cs="仿宋"/>
          <w:color w:val="auto"/>
          <w:sz w:val="32"/>
          <w:szCs w:val="32"/>
          <w:highlight w:val="none"/>
        </w:rPr>
        <w:t>提供合格备用品为采购方使用</w:t>
      </w:r>
      <w:r>
        <w:rPr>
          <w:rFonts w:hint="eastAsia" w:ascii="仿宋" w:hAnsi="仿宋" w:eastAsia="仿宋" w:cs="仿宋"/>
          <w:color w:val="auto"/>
          <w:sz w:val="32"/>
          <w:szCs w:val="32"/>
          <w:highlight w:val="none"/>
          <w:lang w:eastAsia="zh-CN"/>
        </w:rPr>
        <w:t>。</w:t>
      </w:r>
    </w:p>
    <w:p w14:paraId="5EDB6B94">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本项目相关设备和线路等维修或更换不收取额外费用。新增设备、不可抗力或人为等因素除外。采购方对相关硬件设备参数调整的需求不属于保修服务范围。</w:t>
      </w:r>
    </w:p>
    <w:p w14:paraId="68C29480">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textAlignment w:val="auto"/>
        <w:rPr>
          <w:rFonts w:hint="eastAsia" w:ascii="仿宋" w:hAnsi="仿宋" w:eastAsia="仿宋" w:cs="仿宋"/>
          <w:b/>
          <w:bCs/>
          <w:color w:val="auto"/>
          <w:sz w:val="32"/>
          <w:szCs w:val="32"/>
          <w:highlight w:val="none"/>
          <w:lang w:val="en-US" w:eastAsia="zh-CN"/>
        </w:rPr>
      </w:pPr>
      <w:bookmarkStart w:id="0" w:name="_Toc317503723"/>
      <w:bookmarkStart w:id="1" w:name="_Toc86746320"/>
      <w:r>
        <w:rPr>
          <w:rFonts w:hint="eastAsia" w:ascii="仿宋" w:hAnsi="仿宋" w:eastAsia="仿宋" w:cs="仿宋"/>
          <w:b/>
          <w:bCs/>
          <w:color w:val="auto"/>
          <w:sz w:val="32"/>
          <w:szCs w:val="32"/>
          <w:highlight w:val="none"/>
          <w:lang w:val="en-US" w:eastAsia="zh-CN"/>
        </w:rPr>
        <w:t>4.紧急报修</w:t>
      </w:r>
      <w:bookmarkEnd w:id="0"/>
      <w:bookmarkEnd w:id="1"/>
    </w:p>
    <w:p w14:paraId="6C56995A">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紧急报修接报后，</w:t>
      </w:r>
      <w:r>
        <w:rPr>
          <w:rFonts w:hint="eastAsia" w:ascii="仿宋" w:hAnsi="仿宋" w:eastAsia="仿宋" w:cs="仿宋"/>
          <w:color w:val="auto"/>
          <w:sz w:val="32"/>
          <w:szCs w:val="32"/>
          <w:highlight w:val="none"/>
          <w:lang w:eastAsia="zh-CN"/>
        </w:rPr>
        <w:t>应在</w:t>
      </w:r>
      <w:r>
        <w:rPr>
          <w:rFonts w:hint="eastAsia" w:ascii="仿宋" w:hAnsi="仿宋" w:eastAsia="仿宋" w:cs="仿宋"/>
          <w:color w:val="auto"/>
          <w:sz w:val="32"/>
          <w:szCs w:val="32"/>
          <w:highlight w:val="none"/>
        </w:rPr>
        <w:t>2小时内响应，非核心设备损坏，</w:t>
      </w:r>
      <w:r>
        <w:rPr>
          <w:rFonts w:hint="eastAsia" w:ascii="仿宋" w:hAnsi="仿宋" w:eastAsia="仿宋" w:cs="仿宋"/>
          <w:color w:val="auto"/>
          <w:sz w:val="32"/>
          <w:szCs w:val="32"/>
          <w:highlight w:val="none"/>
          <w:lang w:eastAsia="zh-CN"/>
        </w:rPr>
        <w:t>应在</w:t>
      </w:r>
      <w:r>
        <w:rPr>
          <w:rFonts w:hint="eastAsia" w:ascii="仿宋" w:hAnsi="仿宋" w:eastAsia="仿宋" w:cs="仿宋"/>
          <w:color w:val="auto"/>
          <w:sz w:val="32"/>
          <w:szCs w:val="32"/>
          <w:highlight w:val="none"/>
        </w:rPr>
        <w:t>4小时内完成维修。如有设备损坏，损坏设备需拆下送原厂维修，维修时长以原厂家服务为准</w:t>
      </w:r>
      <w:r>
        <w:rPr>
          <w:rFonts w:hint="eastAsia" w:ascii="仿宋" w:hAnsi="仿宋" w:eastAsia="仿宋" w:cs="仿宋"/>
          <w:color w:val="auto"/>
          <w:sz w:val="32"/>
          <w:szCs w:val="32"/>
          <w:highlight w:val="none"/>
          <w:lang w:eastAsia="zh-CN"/>
        </w:rPr>
        <w:t>，但供应商必须在</w:t>
      </w:r>
      <w:r>
        <w:rPr>
          <w:rFonts w:hint="eastAsia" w:ascii="仿宋" w:hAnsi="仿宋" w:eastAsia="仿宋" w:cs="仿宋"/>
          <w:color w:val="auto"/>
          <w:sz w:val="32"/>
          <w:szCs w:val="32"/>
          <w:highlight w:val="none"/>
          <w:lang w:val="en-US" w:eastAsia="zh-CN"/>
        </w:rPr>
        <w:t>10个工作日内提供应急措施，以保障采购方正常使用</w:t>
      </w:r>
      <w:r>
        <w:rPr>
          <w:rFonts w:hint="eastAsia" w:ascii="仿宋" w:hAnsi="仿宋" w:eastAsia="仿宋" w:cs="仿宋"/>
          <w:color w:val="auto"/>
          <w:sz w:val="32"/>
          <w:szCs w:val="32"/>
          <w:highlight w:val="none"/>
        </w:rPr>
        <w:t>。紧急报修包括且不限于以下情况：</w:t>
      </w:r>
    </w:p>
    <w:p w14:paraId="5D3F5280">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人脸、</w:t>
      </w:r>
      <w:r>
        <w:rPr>
          <w:rFonts w:hint="eastAsia" w:ascii="仿宋" w:hAnsi="仿宋" w:eastAsia="仿宋" w:cs="仿宋"/>
          <w:color w:val="auto"/>
          <w:sz w:val="32"/>
          <w:szCs w:val="32"/>
          <w:highlight w:val="none"/>
          <w:lang w:val="en-US" w:eastAsia="zh-CN"/>
        </w:rPr>
        <w:t>空调、管道及</w:t>
      </w:r>
      <w:r>
        <w:rPr>
          <w:rFonts w:hint="eastAsia" w:ascii="仿宋" w:hAnsi="仿宋" w:eastAsia="仿宋" w:cs="仿宋"/>
          <w:color w:val="auto"/>
          <w:sz w:val="32"/>
          <w:szCs w:val="32"/>
          <w:highlight w:val="none"/>
        </w:rPr>
        <w:t>梯控系统</w:t>
      </w:r>
      <w:r>
        <w:rPr>
          <w:rFonts w:hint="eastAsia" w:ascii="仿宋" w:hAnsi="仿宋" w:eastAsia="仿宋" w:cs="仿宋"/>
          <w:color w:val="auto"/>
          <w:sz w:val="32"/>
          <w:szCs w:val="32"/>
          <w:highlight w:val="none"/>
          <w:lang w:val="en-US" w:eastAsia="zh-CN"/>
        </w:rPr>
        <w:t>等</w:t>
      </w:r>
      <w:r>
        <w:rPr>
          <w:rFonts w:hint="eastAsia" w:ascii="仿宋" w:hAnsi="仿宋" w:eastAsia="仿宋" w:cs="仿宋"/>
          <w:color w:val="auto"/>
          <w:sz w:val="32"/>
          <w:szCs w:val="32"/>
          <w:highlight w:val="none"/>
        </w:rPr>
        <w:t>瘫痪，严重影响公共安全；</w:t>
      </w:r>
    </w:p>
    <w:p w14:paraId="4B8DC285">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系统出现故障，导致无法正常开馆；</w:t>
      </w:r>
    </w:p>
    <w:p w14:paraId="280CF238">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防盗报警系统出现多防区“误报”（防区数量占总数量的2/3以上）；</w:t>
      </w:r>
    </w:p>
    <w:p w14:paraId="593A758D">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重大接待、活动前出现维保范围内设备故障，导致活动无法顺利开展。</w:t>
      </w:r>
    </w:p>
    <w:p w14:paraId="7CC2FD1A">
      <w:pPr>
        <w:pStyle w:val="2"/>
        <w:keepNext w:val="0"/>
        <w:keepLines w:val="0"/>
        <w:pageBreakBefore w:val="0"/>
        <w:widowControl w:val="0"/>
        <w:kinsoku/>
        <w:wordWrap/>
        <w:overflowPunct/>
        <w:topLinePunct w:val="0"/>
        <w:autoSpaceDE/>
        <w:autoSpaceDN/>
        <w:bidi w:val="0"/>
        <w:spacing w:line="560" w:lineRule="exact"/>
        <w:ind w:left="0" w:firstLine="643"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5</w:t>
      </w:r>
      <w:r>
        <w:rPr>
          <w:rFonts w:hint="eastAsia" w:ascii="仿宋" w:hAnsi="仿宋" w:eastAsia="仿宋" w:cs="仿宋"/>
          <w:b/>
          <w:bCs/>
          <w:color w:val="auto"/>
          <w:sz w:val="32"/>
          <w:szCs w:val="32"/>
          <w:highlight w:val="none"/>
        </w:rPr>
        <w:t>.项目对接及驻场技术支持</w:t>
      </w:r>
    </w:p>
    <w:p w14:paraId="3813A7CE">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color w:val="auto"/>
          <w:sz w:val="32"/>
          <w:szCs w:val="32"/>
          <w:highlight w:val="none"/>
        </w:rPr>
      </w:pPr>
      <w:r>
        <w:rPr>
          <w:rFonts w:hint="eastAsia" w:ascii="仿宋" w:hAnsi="仿宋" w:eastAsia="仿宋" w:cs="仿宋"/>
          <w:color w:val="auto"/>
          <w:sz w:val="32"/>
          <w:szCs w:val="32"/>
          <w:highlight w:val="none"/>
        </w:rPr>
        <w:t>供应商应安排至少一名项目经理7*24小时对接</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负责整个项目维保及相关工作开展。</w:t>
      </w:r>
      <w:r>
        <w:rPr>
          <w:rFonts w:hint="eastAsia" w:ascii="仿宋" w:hAnsi="仿宋" w:eastAsia="仿宋" w:cs="仿宋"/>
          <w:color w:val="auto"/>
          <w:sz w:val="32"/>
          <w:szCs w:val="32"/>
          <w:highlight w:val="none"/>
          <w:lang w:val="en-US" w:eastAsia="zh-CN"/>
        </w:rPr>
        <w:t>视情况</w:t>
      </w:r>
      <w:r>
        <w:rPr>
          <w:rFonts w:hint="eastAsia" w:ascii="仿宋" w:hAnsi="仿宋" w:eastAsia="仿宋" w:cs="仿宋"/>
          <w:color w:val="auto"/>
          <w:sz w:val="32"/>
          <w:szCs w:val="32"/>
          <w:highlight w:val="none"/>
        </w:rPr>
        <w:t>针对</w:t>
      </w:r>
      <w:r>
        <w:rPr>
          <w:rFonts w:hint="eastAsia" w:ascii="仿宋" w:hAnsi="仿宋" w:eastAsia="仿宋" w:cs="仿宋"/>
          <w:color w:val="auto"/>
          <w:sz w:val="32"/>
          <w:szCs w:val="32"/>
          <w:highlight w:val="none"/>
          <w:lang w:eastAsia="zh-CN"/>
        </w:rPr>
        <w:t>展馆</w:t>
      </w:r>
      <w:r>
        <w:rPr>
          <w:rFonts w:hint="eastAsia" w:ascii="仿宋" w:hAnsi="仿宋" w:eastAsia="仿宋" w:cs="仿宋"/>
          <w:color w:val="auto"/>
          <w:sz w:val="32"/>
          <w:szCs w:val="32"/>
          <w:highlight w:val="none"/>
        </w:rPr>
        <w:t>重要活动前一天及当天，需安排对应专业技术人员驻场提供技术支持，排除设备、系统问题，做好保障活动正常举办，</w:t>
      </w:r>
      <w:r>
        <w:rPr>
          <w:rFonts w:hint="eastAsia" w:ascii="仿宋" w:hAnsi="仿宋" w:eastAsia="仿宋" w:cs="仿宋"/>
          <w:color w:val="auto"/>
          <w:sz w:val="32"/>
          <w:szCs w:val="32"/>
          <w:highlight w:val="none"/>
          <w:lang w:val="en-US" w:eastAsia="zh-CN"/>
        </w:rPr>
        <w:t>服务期内最少24次，</w:t>
      </w:r>
      <w:r>
        <w:rPr>
          <w:rFonts w:hint="eastAsia" w:ascii="仿宋" w:hAnsi="仿宋" w:eastAsia="仿宋" w:cs="仿宋"/>
          <w:color w:val="auto"/>
          <w:sz w:val="32"/>
          <w:szCs w:val="32"/>
          <w:highlight w:val="none"/>
        </w:rPr>
        <w:t>采购方可根据实际情况动态调整。</w:t>
      </w:r>
    </w:p>
    <w:p w14:paraId="77662279">
      <w:pPr>
        <w:pStyle w:val="2"/>
        <w:keepNext w:val="0"/>
        <w:keepLines w:val="0"/>
        <w:pageBreakBefore w:val="0"/>
        <w:widowControl w:val="0"/>
        <w:kinsoku/>
        <w:wordWrap/>
        <w:overflowPunct/>
        <w:topLinePunct w:val="0"/>
        <w:autoSpaceDE/>
        <w:autoSpaceDN/>
        <w:bidi w:val="0"/>
        <w:spacing w:line="560" w:lineRule="exact"/>
        <w:ind w:left="0" w:leftChars="0" w:firstLine="643" w:firstLineChars="200"/>
        <w:jc w:val="both"/>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6</w:t>
      </w:r>
      <w:r>
        <w:rPr>
          <w:rFonts w:hint="eastAsia" w:ascii="仿宋" w:hAnsi="仿宋" w:eastAsia="仿宋" w:cs="仿宋"/>
          <w:b/>
          <w:bCs/>
          <w:color w:val="auto"/>
          <w:sz w:val="32"/>
          <w:szCs w:val="32"/>
          <w:highlight w:val="none"/>
        </w:rPr>
        <w:t>.设备管理及维保检查相关工作</w:t>
      </w:r>
    </w:p>
    <w:p w14:paraId="4C06F494">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供应商承接项目后应落实以下工作保障展馆设备正常运行</w:t>
      </w:r>
      <w:r>
        <w:rPr>
          <w:rFonts w:hint="eastAsia" w:ascii="仿宋" w:hAnsi="仿宋" w:eastAsia="仿宋" w:cs="仿宋"/>
          <w:color w:val="auto"/>
          <w:sz w:val="32"/>
          <w:szCs w:val="32"/>
          <w:highlight w:val="none"/>
          <w:lang w:eastAsia="zh-CN"/>
        </w:rPr>
        <w:t>：</w:t>
      </w:r>
    </w:p>
    <w:p w14:paraId="039DF13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①</w:t>
      </w:r>
      <w:r>
        <w:rPr>
          <w:rFonts w:hint="eastAsia" w:ascii="仿宋" w:hAnsi="仿宋" w:eastAsia="仿宋" w:cs="仿宋"/>
          <w:color w:val="auto"/>
          <w:sz w:val="32"/>
          <w:szCs w:val="32"/>
          <w:highlight w:val="none"/>
        </w:rPr>
        <w:t>应对包含设备及系统进行现场清点、验收、建档等</w:t>
      </w:r>
      <w:r>
        <w:rPr>
          <w:rFonts w:hint="eastAsia" w:ascii="仿宋" w:hAnsi="仿宋" w:eastAsia="仿宋" w:cs="仿宋"/>
          <w:color w:val="auto"/>
          <w:sz w:val="32"/>
          <w:szCs w:val="32"/>
          <w:highlight w:val="none"/>
          <w:lang w:eastAsia="zh-CN"/>
        </w:rPr>
        <w:t>；</w:t>
      </w:r>
    </w:p>
    <w:p w14:paraId="035A70C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②</w:t>
      </w:r>
      <w:r>
        <w:rPr>
          <w:rFonts w:hint="eastAsia" w:ascii="仿宋" w:hAnsi="仿宋" w:eastAsia="仿宋" w:cs="仿宋"/>
          <w:color w:val="auto"/>
          <w:sz w:val="32"/>
          <w:szCs w:val="32"/>
          <w:highlight w:val="none"/>
        </w:rPr>
        <w:t>应按计划每</w:t>
      </w:r>
      <w:r>
        <w:rPr>
          <w:rFonts w:hint="eastAsia" w:ascii="仿宋" w:hAnsi="仿宋" w:eastAsia="仿宋" w:cs="仿宋"/>
          <w:color w:val="auto"/>
          <w:sz w:val="32"/>
          <w:szCs w:val="32"/>
          <w:highlight w:val="none"/>
          <w:lang w:val="en-US" w:eastAsia="zh-CN"/>
        </w:rPr>
        <w:t>周</w:t>
      </w:r>
      <w:r>
        <w:rPr>
          <w:rFonts w:hint="eastAsia" w:ascii="仿宋" w:hAnsi="仿宋" w:eastAsia="仿宋" w:cs="仿宋"/>
          <w:color w:val="auto"/>
          <w:sz w:val="32"/>
          <w:szCs w:val="32"/>
          <w:highlight w:val="none"/>
        </w:rPr>
        <w:t>对各系统</w:t>
      </w:r>
      <w:r>
        <w:rPr>
          <w:rFonts w:hint="eastAsia" w:ascii="仿宋" w:hAnsi="仿宋" w:eastAsia="仿宋" w:cs="仿宋"/>
          <w:color w:val="auto"/>
          <w:sz w:val="32"/>
          <w:szCs w:val="32"/>
          <w:highlight w:val="none"/>
          <w:lang w:val="en-US" w:eastAsia="zh-CN"/>
        </w:rPr>
        <w:t>进行</w:t>
      </w:r>
      <w:r>
        <w:rPr>
          <w:rFonts w:hint="eastAsia" w:ascii="仿宋" w:hAnsi="仿宋" w:eastAsia="仿宋" w:cs="仿宋"/>
          <w:color w:val="auto"/>
          <w:sz w:val="32"/>
          <w:szCs w:val="32"/>
          <w:highlight w:val="none"/>
        </w:rPr>
        <w:t>全面检查，</w:t>
      </w:r>
      <w:r>
        <w:rPr>
          <w:rFonts w:hint="eastAsia" w:ascii="仿宋" w:hAnsi="仿宋" w:eastAsia="仿宋" w:cs="仿宋"/>
          <w:color w:val="auto"/>
          <w:sz w:val="32"/>
          <w:szCs w:val="32"/>
          <w:highlight w:val="none"/>
          <w:lang w:eastAsia="zh-CN"/>
        </w:rPr>
        <w:t>并根据实际情况制定巡检计划，</w:t>
      </w:r>
      <w:r>
        <w:rPr>
          <w:rFonts w:hint="eastAsia" w:ascii="仿宋" w:hAnsi="仿宋" w:eastAsia="仿宋" w:cs="仿宋"/>
          <w:color w:val="auto"/>
          <w:sz w:val="32"/>
          <w:szCs w:val="32"/>
          <w:highlight w:val="none"/>
          <w:lang w:val="en-US" w:eastAsia="zh-CN"/>
        </w:rPr>
        <w:t>对所有机房设备清理维护保养（设备机箱内部清洁、散热器保养、硬盘坏道检测、备份数据等）</w:t>
      </w:r>
      <w:r>
        <w:rPr>
          <w:rFonts w:hint="eastAsia" w:ascii="仿宋" w:hAnsi="仿宋" w:eastAsia="仿宋" w:cs="仿宋"/>
          <w:color w:val="auto"/>
          <w:sz w:val="32"/>
          <w:szCs w:val="32"/>
          <w:highlight w:val="none"/>
          <w:lang w:eastAsia="zh-CN"/>
        </w:rPr>
        <w:t>安排专人</w:t>
      </w:r>
      <w:r>
        <w:rPr>
          <w:rFonts w:hint="eastAsia" w:ascii="仿宋" w:hAnsi="仿宋" w:eastAsia="仿宋" w:cs="仿宋"/>
          <w:color w:val="auto"/>
          <w:sz w:val="32"/>
          <w:szCs w:val="32"/>
          <w:highlight w:val="none"/>
        </w:rPr>
        <w:t>定期开展维护工作，排查硬件及系统故障和隐患</w:t>
      </w:r>
      <w:r>
        <w:rPr>
          <w:rFonts w:hint="eastAsia" w:ascii="仿宋" w:hAnsi="仿宋" w:eastAsia="仿宋" w:cs="仿宋"/>
          <w:color w:val="auto"/>
          <w:sz w:val="32"/>
          <w:szCs w:val="32"/>
          <w:highlight w:val="none"/>
          <w:lang w:eastAsia="zh-CN"/>
        </w:rPr>
        <w:t>；</w:t>
      </w:r>
    </w:p>
    <w:p w14:paraId="29EE8769">
      <w:pPr>
        <w:pStyle w:val="2"/>
        <w:ind w:firstLine="64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③按计划做好中央空调外机保养，包括但不限于玻璃温度计的破损更换，水泡的清理，漏水接头的密封处理，冷冻循环水管的清理，各个阀门的保养处理，雪种、冷冻油的检查和补充等。内机保养内容包括Y型过滤器的清洗，回风网的清洗，蒸发器和风扇的清理保养。检查温度计有无损坏、主机控制器、冷冻油、雪种等情况。</w:t>
      </w:r>
    </w:p>
    <w:p w14:paraId="4C7701E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④</w:t>
      </w:r>
      <w:r>
        <w:rPr>
          <w:rFonts w:hint="eastAsia" w:ascii="仿宋" w:hAnsi="仿宋" w:eastAsia="仿宋" w:cs="仿宋"/>
          <w:color w:val="auto"/>
          <w:sz w:val="32"/>
          <w:szCs w:val="32"/>
          <w:highlight w:val="none"/>
        </w:rPr>
        <w:t>做好维保记录，</w:t>
      </w:r>
      <w:r>
        <w:rPr>
          <w:rFonts w:hint="eastAsia" w:ascii="仿宋" w:hAnsi="仿宋" w:eastAsia="仿宋" w:cs="仿宋"/>
          <w:color w:val="auto"/>
          <w:sz w:val="32"/>
          <w:szCs w:val="32"/>
          <w:highlight w:val="none"/>
          <w:lang w:val="en-US" w:eastAsia="zh-CN"/>
        </w:rPr>
        <w:t>按月更新反馈，</w:t>
      </w:r>
      <w:r>
        <w:rPr>
          <w:rFonts w:hint="eastAsia" w:ascii="仿宋" w:hAnsi="仿宋" w:eastAsia="仿宋" w:cs="仿宋"/>
          <w:color w:val="auto"/>
          <w:sz w:val="32"/>
          <w:szCs w:val="32"/>
          <w:highlight w:val="none"/>
        </w:rPr>
        <w:t>针对发现的问题及时上报并形成维保工单并及时完成故障处理</w:t>
      </w:r>
      <w:r>
        <w:rPr>
          <w:rFonts w:hint="eastAsia" w:ascii="仿宋" w:hAnsi="仿宋" w:eastAsia="仿宋" w:cs="仿宋"/>
          <w:color w:val="auto"/>
          <w:sz w:val="32"/>
          <w:szCs w:val="32"/>
          <w:highlight w:val="none"/>
          <w:lang w:eastAsia="zh-CN"/>
        </w:rPr>
        <w:t>。</w:t>
      </w:r>
    </w:p>
    <w:p w14:paraId="7BBF747A">
      <w:pPr>
        <w:pStyle w:val="2"/>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 w:hAnsi="仿宋" w:eastAsia="仿宋" w:cs="仿宋"/>
          <w:b/>
          <w:bCs/>
          <w:color w:val="auto"/>
          <w:sz w:val="32"/>
          <w:szCs w:val="32"/>
          <w:highlight w:val="none"/>
          <w:lang w:eastAsia="zh-CN"/>
        </w:rPr>
      </w:pPr>
      <w:r>
        <w:rPr>
          <w:rFonts w:hint="eastAsia" w:ascii="仿宋" w:hAnsi="仿宋" w:eastAsia="仿宋" w:cs="仿宋"/>
          <w:b w:val="0"/>
          <w:bCs w:val="0"/>
          <w:color w:val="auto"/>
          <w:sz w:val="32"/>
          <w:szCs w:val="32"/>
          <w:highlight w:val="none"/>
          <w:lang w:val="en-US" w:eastAsia="zh-CN"/>
        </w:rPr>
        <w:t>（2）检查设备</w:t>
      </w:r>
      <w:r>
        <w:rPr>
          <w:rFonts w:hint="eastAsia" w:ascii="仿宋" w:hAnsi="仿宋" w:eastAsia="仿宋" w:cs="仿宋"/>
          <w:b w:val="0"/>
          <w:bCs w:val="0"/>
          <w:color w:val="auto"/>
          <w:sz w:val="32"/>
          <w:szCs w:val="32"/>
          <w:highlight w:val="none"/>
          <w:lang w:eastAsia="zh-CN"/>
        </w:rPr>
        <w:t>包括但不限于以下服务内容：</w:t>
      </w:r>
    </w:p>
    <w:p w14:paraId="01C54552">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①设备</w:t>
      </w:r>
      <w:r>
        <w:rPr>
          <w:rFonts w:hint="eastAsia" w:ascii="仿宋" w:hAnsi="仿宋" w:eastAsia="仿宋" w:cs="仿宋"/>
          <w:color w:val="auto"/>
          <w:sz w:val="32"/>
          <w:szCs w:val="32"/>
          <w:highlight w:val="none"/>
        </w:rPr>
        <w:t>高压、低压是否正常；</w:t>
      </w:r>
      <w:r>
        <w:rPr>
          <w:rFonts w:hint="eastAsia" w:ascii="仿宋" w:hAnsi="仿宋" w:eastAsia="仿宋" w:cs="仿宋"/>
          <w:color w:val="auto"/>
          <w:sz w:val="32"/>
          <w:szCs w:val="32"/>
          <w:highlight w:val="none"/>
          <w:lang w:val="en-US" w:eastAsia="zh-CN"/>
        </w:rPr>
        <w:t>设备</w:t>
      </w:r>
      <w:r>
        <w:rPr>
          <w:rFonts w:hint="eastAsia" w:ascii="仿宋" w:hAnsi="仿宋" w:eastAsia="仿宋" w:cs="仿宋"/>
          <w:color w:val="auto"/>
          <w:sz w:val="32"/>
          <w:szCs w:val="32"/>
          <w:highlight w:val="none"/>
        </w:rPr>
        <w:t>运转电流、工作电压、运作声音是否正常；</w:t>
      </w:r>
      <w:r>
        <w:rPr>
          <w:rFonts w:hint="eastAsia" w:ascii="仿宋" w:hAnsi="仿宋" w:eastAsia="仿宋" w:cs="仿宋"/>
          <w:color w:val="auto"/>
          <w:sz w:val="32"/>
          <w:szCs w:val="32"/>
          <w:highlight w:val="none"/>
          <w:lang w:val="en-US" w:eastAsia="zh-CN"/>
        </w:rPr>
        <w:t>设备</w:t>
      </w:r>
      <w:r>
        <w:rPr>
          <w:rFonts w:hint="eastAsia" w:ascii="仿宋" w:hAnsi="仿宋" w:eastAsia="仿宋" w:cs="仿宋"/>
          <w:color w:val="auto"/>
          <w:sz w:val="32"/>
          <w:szCs w:val="32"/>
          <w:highlight w:val="none"/>
        </w:rPr>
        <w:t>主机相序保护器是否正常、有无缺相情况；</w:t>
      </w:r>
      <w:r>
        <w:rPr>
          <w:rFonts w:hint="eastAsia" w:ascii="仿宋" w:hAnsi="仿宋" w:eastAsia="仿宋" w:cs="仿宋"/>
          <w:color w:val="auto"/>
          <w:sz w:val="32"/>
          <w:szCs w:val="32"/>
          <w:highlight w:val="none"/>
          <w:lang w:val="en-US" w:eastAsia="zh-CN"/>
        </w:rPr>
        <w:t>设备</w:t>
      </w:r>
      <w:r>
        <w:rPr>
          <w:rFonts w:hint="eastAsia" w:ascii="仿宋" w:hAnsi="仿宋" w:eastAsia="仿宋" w:cs="仿宋"/>
          <w:color w:val="auto"/>
          <w:sz w:val="32"/>
          <w:szCs w:val="32"/>
          <w:highlight w:val="none"/>
        </w:rPr>
        <w:t>主机各接线端子有无松动；</w:t>
      </w:r>
      <w:r>
        <w:rPr>
          <w:rFonts w:hint="eastAsia" w:ascii="仿宋" w:hAnsi="仿宋" w:eastAsia="仿宋" w:cs="仿宋"/>
          <w:color w:val="auto"/>
          <w:sz w:val="32"/>
          <w:szCs w:val="32"/>
          <w:highlight w:val="none"/>
          <w:lang w:val="en-US" w:eastAsia="zh-CN"/>
        </w:rPr>
        <w:t>设备</w:t>
      </w:r>
      <w:r>
        <w:rPr>
          <w:rFonts w:hint="eastAsia" w:ascii="仿宋" w:hAnsi="仿宋" w:eastAsia="仿宋" w:cs="仿宋"/>
          <w:color w:val="auto"/>
          <w:sz w:val="32"/>
          <w:szCs w:val="32"/>
          <w:highlight w:val="none"/>
        </w:rPr>
        <w:t>开关是否正常；交流接触器、热保护器运行是否正常；固定机件、管路整理及保温管包扎、接线处理及外壳处理；电路部分：过载保护器、传感风机电容、继电器检查；电源板、变频板、变频模块板</w:t>
      </w:r>
      <w:r>
        <w:rPr>
          <w:rFonts w:hint="eastAsia" w:ascii="仿宋" w:hAnsi="仿宋" w:eastAsia="仿宋" w:cs="仿宋"/>
          <w:color w:val="auto"/>
          <w:sz w:val="32"/>
          <w:szCs w:val="32"/>
          <w:highlight w:val="none"/>
          <w:lang w:val="en-US" w:eastAsia="zh-CN"/>
        </w:rPr>
        <w:t>等</w:t>
      </w:r>
      <w:r>
        <w:rPr>
          <w:rFonts w:hint="eastAsia" w:ascii="仿宋" w:hAnsi="仿宋" w:eastAsia="仿宋" w:cs="仿宋"/>
          <w:color w:val="auto"/>
          <w:sz w:val="32"/>
          <w:szCs w:val="32"/>
          <w:highlight w:val="none"/>
        </w:rPr>
        <w:t>；</w:t>
      </w:r>
    </w:p>
    <w:p w14:paraId="53A5EF5C">
      <w:pPr>
        <w:pStyle w:val="2"/>
        <w:keepNext w:val="0"/>
        <w:keepLines w:val="0"/>
        <w:pageBreakBefore w:val="0"/>
        <w:kinsoku/>
        <w:wordWrap/>
        <w:overflowPunct/>
        <w:topLinePunct w:val="0"/>
        <w:autoSpaceDE/>
        <w:autoSpaceDN/>
        <w:bidi w:val="0"/>
        <w:spacing w:line="560" w:lineRule="exact"/>
        <w:ind w:left="0" w:firstLine="640" w:firstLineChars="200"/>
        <w:textAlignment w:val="auto"/>
        <w:rPr>
          <w:rFonts w:hint="eastAsia" w:ascii="仿宋" w:hAnsi="仿宋" w:eastAsia="仿宋" w:cs="仿宋"/>
          <w:i w:val="0"/>
          <w:i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②</w:t>
      </w:r>
      <w:r>
        <w:rPr>
          <w:rFonts w:hint="eastAsia" w:ascii="仿宋" w:hAnsi="仿宋" w:eastAsia="仿宋" w:cs="仿宋"/>
          <w:color w:val="auto"/>
          <w:sz w:val="32"/>
          <w:szCs w:val="32"/>
          <w:highlight w:val="none"/>
        </w:rPr>
        <w:t>定期</w:t>
      </w:r>
      <w:r>
        <w:rPr>
          <w:rFonts w:hint="eastAsia" w:ascii="仿宋" w:hAnsi="仿宋" w:eastAsia="仿宋" w:cs="仿宋"/>
          <w:color w:val="auto"/>
          <w:sz w:val="32"/>
          <w:szCs w:val="32"/>
          <w:highlight w:val="none"/>
          <w:lang w:val="en-US" w:eastAsia="zh-CN"/>
        </w:rPr>
        <w:t>对中央空调进出风口清洗及空气质量检测</w:t>
      </w:r>
      <w:r>
        <w:rPr>
          <w:rFonts w:hint="eastAsia" w:ascii="仿宋" w:hAnsi="仿宋" w:eastAsia="仿宋" w:cs="仿宋"/>
          <w:color w:val="auto"/>
          <w:sz w:val="32"/>
          <w:szCs w:val="32"/>
          <w:highlight w:val="none"/>
        </w:rPr>
        <w:t>；</w:t>
      </w:r>
    </w:p>
    <w:p w14:paraId="636836B4">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③</w:t>
      </w:r>
      <w:r>
        <w:rPr>
          <w:rFonts w:hint="eastAsia" w:ascii="仿宋" w:hAnsi="仿宋" w:eastAsia="仿宋" w:cs="仿宋"/>
          <w:color w:val="auto"/>
          <w:sz w:val="32"/>
          <w:szCs w:val="32"/>
          <w:highlight w:val="none"/>
        </w:rPr>
        <w:t>在保养期内</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在接到</w:t>
      </w:r>
      <w:r>
        <w:rPr>
          <w:rFonts w:hint="eastAsia" w:ascii="仿宋" w:hAnsi="仿宋" w:eastAsia="仿宋" w:cs="仿宋"/>
          <w:color w:val="auto"/>
          <w:sz w:val="32"/>
          <w:szCs w:val="32"/>
          <w:highlight w:val="none"/>
          <w:lang w:eastAsia="zh-CN"/>
        </w:rPr>
        <w:t>采购方</w:t>
      </w:r>
      <w:r>
        <w:rPr>
          <w:rFonts w:hint="eastAsia" w:ascii="仿宋" w:hAnsi="仿宋" w:eastAsia="仿宋" w:cs="仿宋"/>
          <w:color w:val="auto"/>
          <w:sz w:val="32"/>
          <w:szCs w:val="32"/>
          <w:highlight w:val="none"/>
        </w:rPr>
        <w:t>通知主机出现故障</w:t>
      </w:r>
      <w:r>
        <w:rPr>
          <w:rFonts w:hint="eastAsia" w:ascii="仿宋" w:hAnsi="仿宋" w:eastAsia="仿宋" w:cs="仿宋"/>
          <w:color w:val="auto"/>
          <w:sz w:val="32"/>
          <w:szCs w:val="32"/>
          <w:highlight w:val="none"/>
          <w:lang w:eastAsia="zh-CN"/>
        </w:rPr>
        <w:t>后</w:t>
      </w:r>
      <w:r>
        <w:rPr>
          <w:rFonts w:hint="eastAsia" w:ascii="仿宋" w:hAnsi="仿宋" w:eastAsia="仿宋" w:cs="仿宋"/>
          <w:color w:val="auto"/>
          <w:sz w:val="32"/>
          <w:szCs w:val="32"/>
          <w:highlight w:val="none"/>
        </w:rPr>
        <w:t>，应当在2小时之内</w:t>
      </w:r>
      <w:r>
        <w:rPr>
          <w:rFonts w:hint="eastAsia" w:ascii="仿宋" w:hAnsi="仿宋" w:eastAsia="仿宋" w:cs="仿宋"/>
          <w:color w:val="auto"/>
          <w:sz w:val="32"/>
          <w:szCs w:val="32"/>
          <w:highlight w:val="none"/>
          <w:lang w:eastAsia="zh-CN"/>
        </w:rPr>
        <w:t>安排专人</w:t>
      </w:r>
      <w:r>
        <w:rPr>
          <w:rFonts w:hint="eastAsia" w:ascii="仿宋" w:hAnsi="仿宋" w:eastAsia="仿宋" w:cs="仿宋"/>
          <w:color w:val="auto"/>
          <w:sz w:val="32"/>
          <w:szCs w:val="32"/>
          <w:highlight w:val="none"/>
        </w:rPr>
        <w:t>赶到现场进行处理（节假日同样服务）；</w:t>
      </w:r>
    </w:p>
    <w:p w14:paraId="36457DE1">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④</w:t>
      </w:r>
      <w:r>
        <w:rPr>
          <w:rFonts w:hint="eastAsia" w:ascii="仿宋" w:hAnsi="仿宋" w:eastAsia="仿宋" w:cs="仿宋"/>
          <w:color w:val="auto"/>
          <w:sz w:val="32"/>
          <w:szCs w:val="32"/>
          <w:highlight w:val="none"/>
        </w:rPr>
        <w:t>每次服务后，</w:t>
      </w:r>
      <w:r>
        <w:rPr>
          <w:rFonts w:hint="eastAsia" w:ascii="仿宋" w:hAnsi="仿宋" w:eastAsia="仿宋" w:cs="仿宋"/>
          <w:color w:val="auto"/>
          <w:sz w:val="32"/>
          <w:szCs w:val="32"/>
          <w:highlight w:val="none"/>
          <w:lang w:eastAsia="zh-CN"/>
        </w:rPr>
        <w:t>应</w:t>
      </w:r>
      <w:r>
        <w:rPr>
          <w:rFonts w:hint="eastAsia" w:ascii="仿宋" w:hAnsi="仿宋" w:eastAsia="仿宋" w:cs="仿宋"/>
          <w:color w:val="auto"/>
          <w:sz w:val="32"/>
          <w:szCs w:val="32"/>
          <w:highlight w:val="none"/>
        </w:rPr>
        <w:t>向</w:t>
      </w:r>
      <w:r>
        <w:rPr>
          <w:rFonts w:hint="eastAsia" w:ascii="仿宋" w:hAnsi="仿宋" w:eastAsia="仿宋" w:cs="仿宋"/>
          <w:color w:val="auto"/>
          <w:sz w:val="32"/>
          <w:szCs w:val="32"/>
          <w:highlight w:val="none"/>
          <w:lang w:eastAsia="zh-CN"/>
        </w:rPr>
        <w:t>采购方</w:t>
      </w:r>
      <w:r>
        <w:rPr>
          <w:rFonts w:hint="eastAsia" w:ascii="仿宋" w:hAnsi="仿宋" w:eastAsia="仿宋" w:cs="仿宋"/>
          <w:color w:val="auto"/>
          <w:sz w:val="32"/>
          <w:szCs w:val="32"/>
          <w:highlight w:val="none"/>
        </w:rPr>
        <w:t>呈交检查报告，并鉴定运行状态，提交合理建议；</w:t>
      </w:r>
    </w:p>
    <w:p w14:paraId="402D79A8">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⑤</w:t>
      </w:r>
      <w:r>
        <w:rPr>
          <w:rFonts w:hint="eastAsia" w:ascii="仿宋" w:hAnsi="仿宋" w:eastAsia="仿宋" w:cs="仿宋"/>
          <w:color w:val="auto"/>
          <w:sz w:val="32"/>
          <w:szCs w:val="32"/>
          <w:highlight w:val="none"/>
        </w:rPr>
        <w:t>严格按照设备的技术标准进行保养</w:t>
      </w:r>
      <w:r>
        <w:rPr>
          <w:rFonts w:hint="eastAsia" w:ascii="仿宋" w:hAnsi="仿宋" w:eastAsia="仿宋" w:cs="仿宋"/>
          <w:color w:val="auto"/>
          <w:sz w:val="32"/>
          <w:szCs w:val="32"/>
          <w:highlight w:val="none"/>
          <w:lang w:eastAsia="zh-CN"/>
        </w:rPr>
        <w:t>。</w:t>
      </w:r>
    </w:p>
    <w:p w14:paraId="72843F02">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7.考核办法/验收方式</w:t>
      </w:r>
    </w:p>
    <w:p w14:paraId="2368D809">
      <w:pPr>
        <w:keepNext w:val="0"/>
        <w:keepLines w:val="0"/>
        <w:pageBreakBefore w:val="0"/>
        <w:widowControl/>
        <w:kinsoku/>
        <w:wordWrap/>
        <w:overflowPunct/>
        <w:topLinePunct w:val="0"/>
        <w:autoSpaceDE/>
        <w:autoSpaceDN/>
        <w:bidi w:val="0"/>
        <w:spacing w:line="560" w:lineRule="exact"/>
        <w:ind w:left="0" w:firstLine="640" w:firstLineChars="200"/>
        <w:jc w:val="both"/>
        <w:textAlignment w:val="auto"/>
        <w:rPr>
          <w:rFonts w:hint="eastAsia"/>
          <w:color w:val="auto"/>
          <w:sz w:val="32"/>
          <w:szCs w:val="32"/>
          <w:highlight w:val="none"/>
        </w:rPr>
      </w:pPr>
      <w:r>
        <w:rPr>
          <w:rFonts w:hint="eastAsia" w:ascii="仿宋" w:hAnsi="仿宋" w:eastAsia="仿宋" w:cs="仿宋"/>
          <w:color w:val="auto"/>
          <w:sz w:val="32"/>
          <w:szCs w:val="32"/>
          <w:highlight w:val="none"/>
        </w:rPr>
        <w:t>另见</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方的考核验收管理办法。</w:t>
      </w:r>
    </w:p>
    <w:p w14:paraId="179A7D10">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8.报价要求</w:t>
      </w:r>
    </w:p>
    <w:p w14:paraId="48F175F1">
      <w:pPr>
        <w:keepNext w:val="0"/>
        <w:keepLines w:val="0"/>
        <w:pageBreakBefore w:val="0"/>
        <w:widowControl/>
        <w:kinsoku/>
        <w:wordWrap/>
        <w:overflowPunct/>
        <w:topLinePunct w:val="0"/>
        <w:autoSpaceDE/>
        <w:autoSpaceDN/>
        <w:bidi w:val="0"/>
        <w:spacing w:line="560" w:lineRule="exact"/>
        <w:ind w:left="0" w:firstLine="640" w:firstLineChars="200"/>
        <w:jc w:val="both"/>
        <w:textAlignment w:val="auto"/>
        <w:rPr>
          <w:rFonts w:hint="eastAsia"/>
          <w:color w:val="auto"/>
          <w:sz w:val="32"/>
          <w:szCs w:val="32"/>
          <w:highlight w:val="none"/>
        </w:rPr>
      </w:pPr>
      <w:r>
        <w:rPr>
          <w:rFonts w:hint="eastAsia" w:ascii="仿宋" w:hAnsi="仿宋" w:eastAsia="仿宋" w:cs="仿宋"/>
          <w:color w:val="auto"/>
          <w:sz w:val="32"/>
          <w:szCs w:val="32"/>
          <w:highlight w:val="none"/>
        </w:rPr>
        <w:t>投标报价应以人民币报价，以12个月的服务费用进行报价（合同金额按照实际约定服务天数折算）。本项目服务费用包括但不限于人员成本费（含人员劳动报酬、福利待遇、社会保险、补贴补助等费用）、设备材料费用、办公费用、管理费用、法定税费、合理利润以及不可预见风险预备金等本项目涉及的一切费用。</w:t>
      </w:r>
    </w:p>
    <w:p w14:paraId="706F2863">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9.付款方式</w:t>
      </w:r>
    </w:p>
    <w:p w14:paraId="2835C314">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1.按照宝安区财政局和宝安区科技创新</w:t>
      </w:r>
      <w:r>
        <w:rPr>
          <w:rFonts w:hint="eastAsia" w:ascii="仿宋" w:hAnsi="仿宋" w:eastAsia="仿宋" w:cs="仿宋"/>
          <w:color w:val="auto"/>
          <w:sz w:val="32"/>
          <w:szCs w:val="32"/>
          <w:highlight w:val="none"/>
          <w:lang w:val="en-US" w:eastAsia="zh-CN"/>
        </w:rPr>
        <w:t>服务中心</w:t>
      </w:r>
      <w:r>
        <w:rPr>
          <w:rFonts w:hint="eastAsia" w:ascii="仿宋" w:hAnsi="仿宋" w:eastAsia="仿宋" w:cs="仿宋"/>
          <w:color w:val="auto"/>
          <w:sz w:val="32"/>
          <w:szCs w:val="32"/>
          <w:highlight w:val="none"/>
        </w:rPr>
        <w:t>相关制度规定及合同约定支付款项。</w:t>
      </w:r>
    </w:p>
    <w:p w14:paraId="64882EB9">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2.采购单位根据相关制度，每季度对中标</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进行考核，</w:t>
      </w:r>
      <w:r>
        <w:rPr>
          <w:rFonts w:hint="eastAsia" w:ascii="仿宋" w:hAnsi="仿宋" w:eastAsia="仿宋" w:cs="仿宋"/>
          <w:color w:val="auto"/>
          <w:sz w:val="32"/>
          <w:szCs w:val="32"/>
          <w:highlight w:val="none"/>
          <w:lang w:val="en-US" w:eastAsia="zh-CN"/>
        </w:rPr>
        <w:t>考核成绩按季度计算</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季度检查结果与支付当月服务费用挂钩，</w:t>
      </w:r>
      <w:r>
        <w:rPr>
          <w:rFonts w:hint="eastAsia" w:ascii="仿宋" w:hAnsi="仿宋" w:eastAsia="仿宋" w:cs="仿宋"/>
          <w:color w:val="auto"/>
          <w:sz w:val="32"/>
          <w:szCs w:val="32"/>
          <w:highlight w:val="none"/>
        </w:rPr>
        <w:t>根据实际考核结果和合同约定支付</w:t>
      </w:r>
      <w:r>
        <w:rPr>
          <w:rFonts w:hint="eastAsia" w:ascii="仿宋" w:hAnsi="仿宋" w:eastAsia="仿宋" w:cs="仿宋"/>
          <w:color w:val="auto"/>
          <w:sz w:val="32"/>
          <w:szCs w:val="32"/>
          <w:highlight w:val="none"/>
          <w:lang w:eastAsia="zh-CN"/>
        </w:rPr>
        <w:t>相关</w:t>
      </w:r>
      <w:r>
        <w:rPr>
          <w:rFonts w:hint="eastAsia" w:ascii="仿宋" w:hAnsi="仿宋" w:eastAsia="仿宋" w:cs="仿宋"/>
          <w:color w:val="auto"/>
          <w:sz w:val="32"/>
          <w:szCs w:val="32"/>
          <w:highlight w:val="none"/>
        </w:rPr>
        <w:t>款项。</w:t>
      </w:r>
    </w:p>
    <w:p w14:paraId="5E243E99">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10.其他需说明的事项</w:t>
      </w:r>
    </w:p>
    <w:p w14:paraId="1BCD21A7">
      <w:pPr>
        <w:keepNext w:val="0"/>
        <w:keepLines w:val="0"/>
        <w:pageBreakBefore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投标人可自行实地勘察。</w:t>
      </w:r>
    </w:p>
    <w:p w14:paraId="32A22796">
      <w:pPr>
        <w:keepNext w:val="0"/>
        <w:keepLines w:val="0"/>
        <w:pageBreakBefore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采购方有权对中标人进行实地勘察。</w:t>
      </w:r>
    </w:p>
    <w:p w14:paraId="10E77EA6">
      <w:pPr>
        <w:keepNext w:val="0"/>
        <w:keepLines w:val="0"/>
        <w:pageBreakBefore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中标方在合同执行期间，须接受采购方及其上级主管部门的监管。</w:t>
      </w:r>
    </w:p>
    <w:p w14:paraId="2354B946">
      <w:pPr>
        <w:pStyle w:val="2"/>
        <w:rPr>
          <w:rFonts w:hint="eastAsia" w:eastAsia="仿宋"/>
          <w:highlight w:val="none"/>
          <w:lang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中标人必须在合同期内完成项目实施和服务工作，并保证衔接工作的顺利开展。后续如因财政部门政策调整、预算调整等不可控因素，中标人需配合采购单位做好项目变更实施或项目终止等工作。</w:t>
      </w:r>
    </w:p>
    <w:p w14:paraId="1029B0C5">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楷体" w:hAnsi="楷体" w:eastAsia="楷体" w:cs="楷体"/>
          <w:b/>
          <w:bCs/>
          <w:color w:val="auto"/>
          <w:sz w:val="32"/>
          <w:szCs w:val="32"/>
          <w:highlight w:val="none"/>
          <w:lang w:eastAsia="zh-CN"/>
        </w:rPr>
      </w:pPr>
      <w:r>
        <w:rPr>
          <w:rFonts w:hint="eastAsia" w:ascii="楷体" w:hAnsi="楷体" w:eastAsia="楷体" w:cs="楷体"/>
          <w:b/>
          <w:bCs/>
          <w:color w:val="auto"/>
          <w:sz w:val="32"/>
          <w:szCs w:val="32"/>
          <w:highlight w:val="none"/>
          <w:lang w:eastAsia="zh-CN"/>
        </w:rPr>
        <w:t>（三）服务设备清单</w:t>
      </w:r>
    </w:p>
    <w:p w14:paraId="0904DFD8">
      <w:pPr>
        <w:pStyle w:val="9"/>
        <w:keepNext w:val="0"/>
        <w:keepLines w:val="0"/>
        <w:pageBreakBefore w:val="0"/>
        <w:numPr>
          <w:ilvl w:val="0"/>
          <w:numId w:val="0"/>
        </w:numPr>
        <w:kinsoku/>
        <w:wordWrap/>
        <w:overflowPunct/>
        <w:topLinePunct w:val="0"/>
        <w:autoSpaceDE/>
        <w:autoSpaceDN/>
        <w:bidi w:val="0"/>
        <w:spacing w:before="0" w:beforeAutospacing="0" w:after="0" w:afterLines="0" w:afterAutospacing="0" w:line="560" w:lineRule="exact"/>
        <w:ind w:left="0" w:lef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1.智能化和多媒体硬件</w:t>
      </w:r>
    </w:p>
    <w:tbl>
      <w:tblPr>
        <w:tblStyle w:val="10"/>
        <w:tblW w:w="5354" w:type="pct"/>
        <w:jc w:val="center"/>
        <w:tblLayout w:type="autofit"/>
        <w:tblCellMar>
          <w:top w:w="0" w:type="dxa"/>
          <w:left w:w="108" w:type="dxa"/>
          <w:bottom w:w="0" w:type="dxa"/>
          <w:right w:w="108" w:type="dxa"/>
        </w:tblCellMar>
      </w:tblPr>
      <w:tblGrid>
        <w:gridCol w:w="609"/>
        <w:gridCol w:w="1485"/>
        <w:gridCol w:w="1454"/>
        <w:gridCol w:w="3811"/>
        <w:gridCol w:w="2526"/>
      </w:tblGrid>
      <w:tr w14:paraId="1D319072">
        <w:tblPrEx>
          <w:tblCellMar>
            <w:top w:w="0" w:type="dxa"/>
            <w:left w:w="108" w:type="dxa"/>
            <w:bottom w:w="0" w:type="dxa"/>
            <w:right w:w="108" w:type="dxa"/>
          </w:tblCellMar>
        </w:tblPrEx>
        <w:trPr>
          <w:trHeight w:val="1080"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31EF14C">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30"/>
                <w:szCs w:val="30"/>
                <w:highlight w:val="none"/>
                <w:lang w:eastAsia="zh-CN"/>
              </w:rPr>
            </w:pPr>
            <w:r>
              <w:rPr>
                <w:rFonts w:hint="eastAsia" w:ascii="仿宋" w:hAnsi="仿宋" w:eastAsia="仿宋" w:cs="仿宋"/>
                <w:b w:val="0"/>
                <w:bCs w:val="0"/>
                <w:color w:val="auto"/>
                <w:kern w:val="0"/>
                <w:sz w:val="30"/>
                <w:szCs w:val="30"/>
                <w:highlight w:val="none"/>
                <w:lang w:eastAsia="zh-CN"/>
              </w:rPr>
              <w:t>序号</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DE70690">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30"/>
                <w:szCs w:val="30"/>
                <w:highlight w:val="none"/>
              </w:rPr>
            </w:pPr>
            <w:r>
              <w:rPr>
                <w:rFonts w:hint="eastAsia" w:ascii="仿宋" w:hAnsi="仿宋" w:eastAsia="仿宋" w:cs="仿宋"/>
                <w:b w:val="0"/>
                <w:bCs w:val="0"/>
                <w:color w:val="auto"/>
                <w:kern w:val="0"/>
                <w:sz w:val="30"/>
                <w:szCs w:val="30"/>
                <w:highlight w:val="none"/>
              </w:rPr>
              <w:t>项目</w:t>
            </w:r>
          </w:p>
          <w:p w14:paraId="6DF92073">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30"/>
                <w:szCs w:val="30"/>
                <w:highlight w:val="none"/>
              </w:rPr>
            </w:pPr>
            <w:r>
              <w:rPr>
                <w:rFonts w:hint="eastAsia" w:ascii="仿宋" w:hAnsi="仿宋" w:eastAsia="仿宋" w:cs="仿宋"/>
                <w:b w:val="0"/>
                <w:bCs w:val="0"/>
                <w:color w:val="auto"/>
                <w:kern w:val="0"/>
                <w:sz w:val="30"/>
                <w:szCs w:val="30"/>
                <w:highlight w:val="none"/>
              </w:rPr>
              <w:t>名称</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F46E8E6">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30"/>
                <w:szCs w:val="30"/>
                <w:highlight w:val="none"/>
                <w:lang w:eastAsia="zh-CN"/>
              </w:rPr>
            </w:pPr>
            <w:r>
              <w:rPr>
                <w:rFonts w:hint="eastAsia" w:ascii="仿宋" w:hAnsi="仿宋" w:eastAsia="仿宋" w:cs="仿宋"/>
                <w:b w:val="0"/>
                <w:bCs w:val="0"/>
                <w:color w:val="auto"/>
                <w:kern w:val="0"/>
                <w:sz w:val="30"/>
                <w:szCs w:val="30"/>
                <w:highlight w:val="none"/>
                <w:lang w:eastAsia="zh-CN"/>
              </w:rPr>
              <w:t>涉及硬件或设备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1DAA245">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30"/>
                <w:szCs w:val="30"/>
                <w:highlight w:val="none"/>
              </w:rPr>
            </w:pPr>
            <w:r>
              <w:rPr>
                <w:rFonts w:hint="eastAsia" w:ascii="仿宋" w:hAnsi="仿宋" w:eastAsia="仿宋" w:cs="仿宋"/>
                <w:b w:val="0"/>
                <w:bCs w:val="0"/>
                <w:color w:val="auto"/>
                <w:kern w:val="0"/>
                <w:sz w:val="30"/>
                <w:szCs w:val="30"/>
                <w:highlight w:val="none"/>
              </w:rPr>
              <w:t>模块功能简介</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F8A6438">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30"/>
                <w:szCs w:val="30"/>
                <w:highlight w:val="none"/>
              </w:rPr>
            </w:pPr>
            <w:r>
              <w:rPr>
                <w:rFonts w:hint="eastAsia" w:ascii="仿宋" w:hAnsi="仿宋" w:eastAsia="仿宋" w:cs="仿宋"/>
                <w:b w:val="0"/>
                <w:bCs w:val="0"/>
                <w:color w:val="auto"/>
                <w:kern w:val="0"/>
                <w:sz w:val="30"/>
                <w:szCs w:val="30"/>
                <w:highlight w:val="none"/>
              </w:rPr>
              <w:t>项目主要设备</w:t>
            </w:r>
          </w:p>
          <w:p w14:paraId="0222CF9D">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30"/>
                <w:szCs w:val="30"/>
                <w:highlight w:val="none"/>
              </w:rPr>
            </w:pPr>
            <w:r>
              <w:rPr>
                <w:rFonts w:hint="eastAsia" w:ascii="仿宋" w:hAnsi="仿宋" w:eastAsia="仿宋" w:cs="仿宋"/>
                <w:b w:val="0"/>
                <w:bCs w:val="0"/>
                <w:color w:val="auto"/>
                <w:kern w:val="0"/>
                <w:sz w:val="30"/>
                <w:szCs w:val="30"/>
                <w:highlight w:val="none"/>
              </w:rPr>
              <w:t>及系统</w:t>
            </w:r>
          </w:p>
        </w:tc>
      </w:tr>
      <w:tr w14:paraId="11F3985A">
        <w:tblPrEx>
          <w:tblCellMar>
            <w:top w:w="0" w:type="dxa"/>
            <w:left w:w="108" w:type="dxa"/>
            <w:bottom w:w="0" w:type="dxa"/>
            <w:right w:w="108" w:type="dxa"/>
          </w:tblCellMar>
        </w:tblPrEx>
        <w:trPr>
          <w:trHeight w:val="2665"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0D45A37">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44CFD7B">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综合布线系统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49918F2">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EFF86DB">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lang w:val="en-US" w:eastAsia="zh-CN"/>
              </w:rPr>
              <w:t>2</w:t>
            </w:r>
            <w:r>
              <w:rPr>
                <w:rFonts w:hint="eastAsia" w:ascii="仿宋" w:hAnsi="仿宋" w:eastAsia="仿宋" w:cs="仿宋"/>
                <w:b w:val="0"/>
                <w:bCs w:val="0"/>
                <w:color w:val="auto"/>
                <w:kern w:val="0"/>
                <w:sz w:val="28"/>
                <w:szCs w:val="28"/>
                <w:highlight w:val="none"/>
              </w:rPr>
              <w:t>-7楼集成化传输系统，利用双绞线或光缆来传输信息，可以连接电话、计算机、会议电视和监视电视等设备的结构化信息传输系统。</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6B7A122">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网线、华为交换机、光纤、HDMI信号传输线路、网口面板等</w:t>
            </w:r>
            <w:r>
              <w:rPr>
                <w:rFonts w:hint="eastAsia" w:ascii="仿宋" w:hAnsi="仿宋" w:eastAsia="仿宋" w:cs="仿宋"/>
                <w:b w:val="0"/>
                <w:bCs w:val="0"/>
                <w:color w:val="auto"/>
                <w:kern w:val="0"/>
                <w:sz w:val="28"/>
                <w:szCs w:val="28"/>
                <w:highlight w:val="none"/>
                <w:lang w:eastAsia="zh-CN"/>
              </w:rPr>
              <w:t>。</w:t>
            </w:r>
          </w:p>
        </w:tc>
      </w:tr>
      <w:tr w14:paraId="35FD2CED">
        <w:tblPrEx>
          <w:tblCellMar>
            <w:top w:w="0" w:type="dxa"/>
            <w:left w:w="108" w:type="dxa"/>
            <w:bottom w:w="0" w:type="dxa"/>
            <w:right w:w="108" w:type="dxa"/>
          </w:tblCellMar>
        </w:tblPrEx>
        <w:trPr>
          <w:trHeight w:val="2610"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63FA9F1">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46318D7">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计算机网络系统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4B452BD">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00E4860">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具体实施办公网及智能化专网两套网络系统，办公网上行接入政府外网，智能化专网采用星形拓扑结构，千兆主干、千兆到终端。同时部署上网行为管理及防火墙。</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938462F">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深信服上网行为管理设备、防火墙、路由器等</w:t>
            </w:r>
            <w:r>
              <w:rPr>
                <w:rFonts w:hint="eastAsia" w:ascii="仿宋" w:hAnsi="仿宋" w:eastAsia="仿宋" w:cs="仿宋"/>
                <w:b w:val="0"/>
                <w:bCs w:val="0"/>
                <w:color w:val="auto"/>
                <w:kern w:val="0"/>
                <w:sz w:val="28"/>
                <w:szCs w:val="28"/>
                <w:highlight w:val="none"/>
                <w:lang w:eastAsia="zh-CN"/>
              </w:rPr>
              <w:t>。</w:t>
            </w:r>
          </w:p>
        </w:tc>
      </w:tr>
      <w:tr w14:paraId="05B6FE6F">
        <w:tblPrEx>
          <w:tblCellMar>
            <w:top w:w="0" w:type="dxa"/>
            <w:left w:w="108" w:type="dxa"/>
            <w:bottom w:w="0" w:type="dxa"/>
            <w:right w:w="108" w:type="dxa"/>
          </w:tblCellMar>
        </w:tblPrEx>
        <w:trPr>
          <w:trHeight w:val="1250"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F8AF9F5">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3</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E37BCC2">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lang w:eastAsia="zh-CN"/>
              </w:rPr>
              <w:t>Wi-Fi</w:t>
            </w:r>
            <w:r>
              <w:rPr>
                <w:rFonts w:hint="eastAsia" w:ascii="仿宋" w:hAnsi="仿宋" w:eastAsia="仿宋" w:cs="仿宋"/>
                <w:b w:val="0"/>
                <w:bCs w:val="0"/>
                <w:color w:val="auto"/>
                <w:kern w:val="0"/>
                <w:sz w:val="28"/>
                <w:szCs w:val="28"/>
                <w:highlight w:val="none"/>
              </w:rPr>
              <w:t>无线网络覆盖</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2BBC471">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2A0C990">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lang w:val="en-US" w:eastAsia="zh-CN"/>
              </w:rPr>
              <w:t>2</w:t>
            </w:r>
            <w:r>
              <w:rPr>
                <w:rFonts w:hint="eastAsia" w:ascii="仿宋" w:hAnsi="仿宋" w:eastAsia="仿宋" w:cs="仿宋"/>
                <w:b w:val="0"/>
                <w:bCs w:val="0"/>
                <w:color w:val="auto"/>
                <w:kern w:val="0"/>
                <w:sz w:val="28"/>
                <w:szCs w:val="28"/>
                <w:highlight w:val="none"/>
              </w:rPr>
              <w:t>-7楼无线</w:t>
            </w:r>
            <w:r>
              <w:rPr>
                <w:rFonts w:hint="eastAsia" w:ascii="仿宋" w:hAnsi="仿宋" w:eastAsia="仿宋" w:cs="仿宋"/>
                <w:b w:val="0"/>
                <w:bCs w:val="0"/>
                <w:color w:val="auto"/>
                <w:kern w:val="0"/>
                <w:sz w:val="28"/>
                <w:szCs w:val="28"/>
                <w:highlight w:val="none"/>
                <w:lang w:eastAsia="zh-CN"/>
              </w:rPr>
              <w:t>Wi-Fi</w:t>
            </w:r>
            <w:r>
              <w:rPr>
                <w:rFonts w:hint="eastAsia" w:ascii="仿宋" w:hAnsi="仿宋" w:eastAsia="仿宋" w:cs="仿宋"/>
                <w:b w:val="0"/>
                <w:bCs w:val="0"/>
                <w:color w:val="auto"/>
                <w:kern w:val="0"/>
                <w:sz w:val="28"/>
                <w:szCs w:val="28"/>
                <w:highlight w:val="none"/>
              </w:rPr>
              <w:t>网络，用于互联网访问及无线设备联网管理。</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462245D">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华为吸顶式无线AP、华为无线AC控制器等</w:t>
            </w:r>
            <w:r>
              <w:rPr>
                <w:rFonts w:hint="eastAsia" w:ascii="仿宋" w:hAnsi="仿宋" w:eastAsia="仿宋" w:cs="仿宋"/>
                <w:b w:val="0"/>
                <w:bCs w:val="0"/>
                <w:color w:val="auto"/>
                <w:kern w:val="0"/>
                <w:sz w:val="28"/>
                <w:szCs w:val="28"/>
                <w:highlight w:val="none"/>
                <w:lang w:eastAsia="zh-CN"/>
              </w:rPr>
              <w:t>。</w:t>
            </w:r>
          </w:p>
        </w:tc>
      </w:tr>
      <w:tr w14:paraId="16AAB0F5">
        <w:tblPrEx>
          <w:tblCellMar>
            <w:top w:w="0" w:type="dxa"/>
            <w:left w:w="108" w:type="dxa"/>
            <w:bottom w:w="0" w:type="dxa"/>
            <w:right w:w="108" w:type="dxa"/>
          </w:tblCellMar>
        </w:tblPrEx>
        <w:trPr>
          <w:trHeight w:val="2555"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B942B7F">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4</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EDB1FF8">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视频监控系统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370125C">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F24FA69">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重点集中在主要出入口、通道、电梯内、电梯前室、展厅等区域，通过前端摄像机进行视频图像监控。同时搭建监控视频存储系统，实现45天视频记录存储。</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A153A25">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网络半球摄像机、36盘位控制器磁盘阵列、6T硬盘、监控工作站、视频监控综合管理软件等</w:t>
            </w:r>
            <w:r>
              <w:rPr>
                <w:rFonts w:hint="eastAsia" w:ascii="仿宋" w:hAnsi="仿宋" w:eastAsia="仿宋" w:cs="仿宋"/>
                <w:b w:val="0"/>
                <w:bCs w:val="0"/>
                <w:color w:val="auto"/>
                <w:kern w:val="0"/>
                <w:sz w:val="28"/>
                <w:szCs w:val="28"/>
                <w:highlight w:val="none"/>
                <w:lang w:eastAsia="zh-CN"/>
              </w:rPr>
              <w:t>。</w:t>
            </w:r>
          </w:p>
        </w:tc>
      </w:tr>
      <w:tr w14:paraId="0C202533">
        <w:tblPrEx>
          <w:tblCellMar>
            <w:top w:w="0" w:type="dxa"/>
            <w:left w:w="108" w:type="dxa"/>
            <w:bottom w:w="0" w:type="dxa"/>
            <w:right w:w="108" w:type="dxa"/>
          </w:tblCellMar>
        </w:tblPrEx>
        <w:trPr>
          <w:trHeight w:val="2095"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35F3AD9">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5</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B1CB50F">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客流</w:t>
            </w:r>
          </w:p>
          <w:p w14:paraId="5F304E41">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分析</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E68BA49">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AB7D7A7">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由前端摄像机、传输端（网络交换机或客流分析终端）、后端服务器及分析软件组成，精准地统计出每个入口实时客流进出人数。</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669A3E5">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客流统计摄像机 、客流分析软件及服务器、监控工作站等</w:t>
            </w:r>
            <w:r>
              <w:rPr>
                <w:rFonts w:hint="eastAsia" w:ascii="仿宋" w:hAnsi="仿宋" w:eastAsia="仿宋" w:cs="仿宋"/>
                <w:b w:val="0"/>
                <w:bCs w:val="0"/>
                <w:color w:val="auto"/>
                <w:kern w:val="0"/>
                <w:sz w:val="28"/>
                <w:szCs w:val="28"/>
                <w:highlight w:val="none"/>
                <w:lang w:eastAsia="zh-CN"/>
              </w:rPr>
              <w:t>。</w:t>
            </w:r>
          </w:p>
        </w:tc>
      </w:tr>
      <w:tr w14:paraId="03023990">
        <w:tblPrEx>
          <w:tblCellMar>
            <w:top w:w="0" w:type="dxa"/>
            <w:left w:w="108" w:type="dxa"/>
            <w:bottom w:w="0" w:type="dxa"/>
            <w:right w:w="108" w:type="dxa"/>
          </w:tblCellMar>
        </w:tblPrEx>
        <w:trPr>
          <w:trHeight w:val="2440"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FB717FA">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6</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129A437">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人脸识别、门禁及梯控系统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DB44C85">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B73595E">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通过门禁IC及通过录入人脸信息，通过摄像机及后台服务器识别人脸，实现人脸识别迎宾。系统可人脸识别后联动门禁，可实现刷脸开门。后台数据并入智慧楼宇系统。</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E3AA83F">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一拖二门禁控制器、门禁IC读卡器、磁力锁、专用人脸识别监控枪机 、门禁管理软件、人脸识别管理系统等</w:t>
            </w:r>
            <w:r>
              <w:rPr>
                <w:rFonts w:hint="eastAsia" w:ascii="仿宋" w:hAnsi="仿宋" w:eastAsia="仿宋" w:cs="仿宋"/>
                <w:b w:val="0"/>
                <w:bCs w:val="0"/>
                <w:color w:val="auto"/>
                <w:kern w:val="0"/>
                <w:sz w:val="28"/>
                <w:szCs w:val="28"/>
                <w:highlight w:val="none"/>
                <w:lang w:eastAsia="zh-CN"/>
              </w:rPr>
              <w:t>。</w:t>
            </w:r>
          </w:p>
        </w:tc>
      </w:tr>
      <w:tr w14:paraId="5C34427B">
        <w:tblPrEx>
          <w:tblCellMar>
            <w:top w:w="0" w:type="dxa"/>
            <w:left w:w="108" w:type="dxa"/>
            <w:bottom w:w="0" w:type="dxa"/>
            <w:right w:w="108" w:type="dxa"/>
          </w:tblCellMar>
        </w:tblPrEx>
        <w:trPr>
          <w:trHeight w:val="1545"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15FEF20">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7</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7828B63">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通道检票系统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FBA8E89">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FEA37AD">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通过在展示区电梯厅或入口处设计通道闸，人脸识别机通过采集人脸信息，主要用于湾区展示中心二维码及人脸识别检验。</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A3E6B76">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速通门、人脸识别摄像机、通道闸服务器及软件等</w:t>
            </w:r>
            <w:r>
              <w:rPr>
                <w:rFonts w:hint="eastAsia" w:ascii="仿宋" w:hAnsi="仿宋" w:eastAsia="仿宋" w:cs="仿宋"/>
                <w:b w:val="0"/>
                <w:bCs w:val="0"/>
                <w:color w:val="auto"/>
                <w:kern w:val="0"/>
                <w:sz w:val="28"/>
                <w:szCs w:val="28"/>
                <w:highlight w:val="none"/>
                <w:lang w:eastAsia="zh-CN"/>
              </w:rPr>
              <w:t>。</w:t>
            </w:r>
          </w:p>
        </w:tc>
      </w:tr>
      <w:tr w14:paraId="2DCA2C1F">
        <w:tblPrEx>
          <w:tblCellMar>
            <w:top w:w="0" w:type="dxa"/>
            <w:left w:w="108" w:type="dxa"/>
            <w:bottom w:w="0" w:type="dxa"/>
            <w:right w:w="108" w:type="dxa"/>
          </w:tblCellMar>
        </w:tblPrEx>
        <w:trPr>
          <w:trHeight w:val="2495"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672ACB1">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8</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1F95A10">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电子巡更系统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6BF03F2">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CB7571F">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采用离线式巡更系统，在建筑出入口、各层楼梯、楼内等适当设置巡更点，同时满足保安巡逻、机动巡检管理的功能。</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81C97EE">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智能巡检器、火灾报警系统控制主机、声光报警器</w:t>
            </w:r>
            <w:r>
              <w:rPr>
                <w:rFonts w:hint="eastAsia" w:ascii="仿宋" w:hAnsi="仿宋" w:eastAsia="仿宋" w:cs="仿宋"/>
                <w:b w:val="0"/>
                <w:bCs w:val="0"/>
                <w:color w:val="auto"/>
                <w:kern w:val="0"/>
                <w:sz w:val="28"/>
                <w:szCs w:val="28"/>
                <w:highlight w:val="none"/>
                <w:lang w:eastAsia="zh-CN"/>
              </w:rPr>
              <w:t>。</w:t>
            </w:r>
          </w:p>
        </w:tc>
      </w:tr>
      <w:tr w14:paraId="3462644C">
        <w:tblPrEx>
          <w:tblCellMar>
            <w:top w:w="0" w:type="dxa"/>
            <w:left w:w="108" w:type="dxa"/>
            <w:bottom w:w="0" w:type="dxa"/>
            <w:right w:w="108" w:type="dxa"/>
          </w:tblCellMar>
        </w:tblPrEx>
        <w:trPr>
          <w:trHeight w:val="1770"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E0EECA5">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9</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873FD83">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求助报警系统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8FCD8D3">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C5B6728">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各楼层卫生间应急按钮，启动后监控室可实时接</w:t>
            </w:r>
            <w:r>
              <w:rPr>
                <w:rFonts w:hint="eastAsia" w:ascii="仿宋" w:hAnsi="仿宋" w:eastAsia="仿宋" w:cs="仿宋"/>
                <w:b w:val="0"/>
                <w:bCs w:val="0"/>
                <w:color w:val="auto"/>
                <w:kern w:val="0"/>
                <w:sz w:val="28"/>
                <w:szCs w:val="28"/>
                <w:highlight w:val="none"/>
                <w:lang w:val="en-US" w:eastAsia="zh-CN"/>
              </w:rPr>
              <w:t>收</w:t>
            </w:r>
            <w:r>
              <w:rPr>
                <w:rFonts w:hint="eastAsia" w:ascii="仿宋" w:hAnsi="仿宋" w:eastAsia="仿宋" w:cs="仿宋"/>
                <w:b w:val="0"/>
                <w:bCs w:val="0"/>
                <w:color w:val="auto"/>
                <w:kern w:val="0"/>
                <w:sz w:val="28"/>
                <w:szCs w:val="28"/>
                <w:highlight w:val="none"/>
              </w:rPr>
              <w:t>警报。从而立刻做出反应。</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6C19F05">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lang w:val="en-US" w:eastAsia="zh-CN"/>
              </w:rPr>
              <w:t>卫生间</w:t>
            </w:r>
            <w:r>
              <w:rPr>
                <w:rFonts w:hint="eastAsia" w:ascii="仿宋" w:hAnsi="仿宋" w:eastAsia="仿宋" w:cs="仿宋"/>
                <w:b w:val="0"/>
                <w:bCs w:val="0"/>
                <w:color w:val="auto"/>
                <w:kern w:val="0"/>
                <w:sz w:val="28"/>
                <w:szCs w:val="28"/>
                <w:highlight w:val="none"/>
              </w:rPr>
              <w:t>紧急求助按钮、声光报警器、控制主机、蓄电池、报警管理软件等</w:t>
            </w:r>
            <w:r>
              <w:rPr>
                <w:rFonts w:hint="eastAsia" w:ascii="仿宋" w:hAnsi="仿宋" w:eastAsia="仿宋" w:cs="仿宋"/>
                <w:b w:val="0"/>
                <w:bCs w:val="0"/>
                <w:color w:val="auto"/>
                <w:kern w:val="0"/>
                <w:sz w:val="28"/>
                <w:szCs w:val="28"/>
                <w:highlight w:val="none"/>
                <w:lang w:eastAsia="zh-CN"/>
              </w:rPr>
              <w:t>。</w:t>
            </w:r>
          </w:p>
        </w:tc>
      </w:tr>
      <w:tr w14:paraId="32BB618A">
        <w:tblPrEx>
          <w:tblCellMar>
            <w:top w:w="0" w:type="dxa"/>
            <w:left w:w="108" w:type="dxa"/>
            <w:bottom w:w="0" w:type="dxa"/>
            <w:right w:w="108" w:type="dxa"/>
          </w:tblCellMar>
        </w:tblPrEx>
        <w:trPr>
          <w:trHeight w:val="1730"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494BCE4">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10</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9E12426">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无线对讲覆盖</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9069990">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1463769">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智能对讲机系统。实现可在</w:t>
            </w:r>
            <w:r>
              <w:rPr>
                <w:rFonts w:hint="eastAsia" w:ascii="仿宋" w:hAnsi="仿宋" w:eastAsia="仿宋" w:cs="仿宋"/>
                <w:b w:val="0"/>
                <w:bCs w:val="0"/>
                <w:color w:val="auto"/>
                <w:kern w:val="0"/>
                <w:sz w:val="28"/>
                <w:szCs w:val="28"/>
                <w:highlight w:val="none"/>
                <w:lang w:eastAsia="zh-CN"/>
              </w:rPr>
              <w:t>展馆</w:t>
            </w:r>
            <w:r>
              <w:rPr>
                <w:rFonts w:hint="eastAsia" w:ascii="仿宋" w:hAnsi="仿宋" w:eastAsia="仿宋" w:cs="仿宋"/>
                <w:b w:val="0"/>
                <w:bCs w:val="0"/>
                <w:color w:val="auto"/>
                <w:kern w:val="0"/>
                <w:sz w:val="28"/>
                <w:szCs w:val="28"/>
                <w:highlight w:val="none"/>
                <w:lang w:val="en-US" w:eastAsia="zh-CN"/>
              </w:rPr>
              <w:t>2</w:t>
            </w:r>
            <w:r>
              <w:rPr>
                <w:rFonts w:hint="eastAsia" w:ascii="仿宋" w:hAnsi="仿宋" w:eastAsia="仿宋" w:cs="仿宋"/>
                <w:b w:val="0"/>
                <w:bCs w:val="0"/>
                <w:color w:val="auto"/>
                <w:kern w:val="0"/>
                <w:sz w:val="28"/>
                <w:szCs w:val="28"/>
                <w:highlight w:val="none"/>
              </w:rPr>
              <w:t>-7层自由通话。保证安保工作及时对接处理。</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1DF5387">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数字中继台、室内吸盘天线、馈线连接器、数字对讲机</w:t>
            </w:r>
            <w:r>
              <w:rPr>
                <w:rFonts w:hint="eastAsia" w:ascii="仿宋" w:hAnsi="仿宋" w:eastAsia="仿宋" w:cs="仿宋"/>
                <w:b w:val="0"/>
                <w:bCs w:val="0"/>
                <w:color w:val="auto"/>
                <w:kern w:val="0"/>
                <w:sz w:val="28"/>
                <w:szCs w:val="28"/>
                <w:highlight w:val="none"/>
                <w:lang w:eastAsia="zh-CN"/>
              </w:rPr>
              <w:t>。</w:t>
            </w:r>
          </w:p>
        </w:tc>
      </w:tr>
      <w:tr w14:paraId="709E7431">
        <w:tblPrEx>
          <w:tblCellMar>
            <w:top w:w="0" w:type="dxa"/>
            <w:left w:w="108" w:type="dxa"/>
            <w:bottom w:w="0" w:type="dxa"/>
            <w:right w:w="108" w:type="dxa"/>
          </w:tblCellMar>
        </w:tblPrEx>
        <w:trPr>
          <w:trHeight w:val="3565"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9B15F25">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11</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3B4CABC">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信息发布系统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415101A">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54166BD">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多媒体信息发布系统运行的电脑平台，其作用是管理整个数字标牌系统。</w:t>
            </w:r>
            <w:r>
              <w:rPr>
                <w:rFonts w:hint="eastAsia" w:ascii="仿宋" w:hAnsi="仿宋" w:eastAsia="仿宋" w:cs="仿宋"/>
                <w:b w:val="0"/>
                <w:bCs w:val="0"/>
                <w:color w:val="auto"/>
                <w:kern w:val="0"/>
                <w:sz w:val="28"/>
                <w:szCs w:val="28"/>
                <w:highlight w:val="none"/>
              </w:rPr>
              <w:br w:type="textWrapping"/>
            </w:r>
            <w:r>
              <w:rPr>
                <w:rFonts w:hint="eastAsia" w:ascii="仿宋" w:hAnsi="仿宋" w:eastAsia="仿宋" w:cs="仿宋"/>
                <w:b w:val="0"/>
                <w:bCs w:val="0"/>
                <w:color w:val="auto"/>
                <w:kern w:val="0"/>
                <w:sz w:val="28"/>
                <w:szCs w:val="28"/>
                <w:highlight w:val="none"/>
              </w:rPr>
              <w:t>主要用于</w:t>
            </w:r>
            <w:r>
              <w:rPr>
                <w:rFonts w:hint="eastAsia" w:ascii="仿宋" w:hAnsi="仿宋" w:eastAsia="仿宋" w:cs="仿宋"/>
                <w:b w:val="0"/>
                <w:bCs w:val="0"/>
                <w:color w:val="auto"/>
                <w:kern w:val="0"/>
                <w:sz w:val="28"/>
                <w:szCs w:val="28"/>
                <w:highlight w:val="none"/>
                <w:lang w:val="en-US" w:eastAsia="zh-CN"/>
              </w:rPr>
              <w:t>2</w:t>
            </w:r>
            <w:r>
              <w:rPr>
                <w:rFonts w:hint="eastAsia" w:ascii="仿宋" w:hAnsi="仿宋" w:eastAsia="仿宋" w:cs="仿宋"/>
                <w:b w:val="0"/>
                <w:bCs w:val="0"/>
                <w:color w:val="auto"/>
                <w:kern w:val="0"/>
                <w:sz w:val="28"/>
                <w:szCs w:val="28"/>
                <w:highlight w:val="none"/>
              </w:rPr>
              <w:t>-7楼电梯间电视视频、图片等发布。包含素材管理、节目管理、设备管理，受控于服务器的播放设备，直接面向受众。</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F0B047A">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32寸信息发布一体机、信息发布管理软件及服务器</w:t>
            </w:r>
            <w:r>
              <w:rPr>
                <w:rFonts w:hint="eastAsia" w:ascii="仿宋" w:hAnsi="仿宋" w:eastAsia="仿宋" w:cs="仿宋"/>
                <w:b w:val="0"/>
                <w:bCs w:val="0"/>
                <w:color w:val="auto"/>
                <w:kern w:val="0"/>
                <w:sz w:val="28"/>
                <w:szCs w:val="28"/>
                <w:highlight w:val="none"/>
                <w:lang w:eastAsia="zh-CN"/>
              </w:rPr>
              <w:t>。</w:t>
            </w:r>
          </w:p>
        </w:tc>
      </w:tr>
      <w:tr w14:paraId="6B963A55">
        <w:tblPrEx>
          <w:tblCellMar>
            <w:top w:w="0" w:type="dxa"/>
            <w:left w:w="108" w:type="dxa"/>
            <w:bottom w:w="0" w:type="dxa"/>
            <w:right w:w="108" w:type="dxa"/>
          </w:tblCellMar>
        </w:tblPrEx>
        <w:trPr>
          <w:trHeight w:val="2920"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2ED9BBB">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12</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89EB98C">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背景音乐广播</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6368D30">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82F0698">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数字化网络广播全覆盖，不同分区不同音源同时广播，定时定点定曲自动播放，在紧急状况，还可以通过控制面板、话筒进行远程指引，保障人身安全。</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A40347">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rPr>
              <w:t>广播中心、播放器、调谐器、网络话音箱、监控工作站、扬声器等</w:t>
            </w:r>
            <w:r>
              <w:rPr>
                <w:rFonts w:hint="eastAsia" w:ascii="仿宋" w:hAnsi="仿宋" w:eastAsia="仿宋" w:cs="仿宋"/>
                <w:b w:val="0"/>
                <w:bCs w:val="0"/>
                <w:color w:val="auto"/>
                <w:kern w:val="0"/>
                <w:sz w:val="28"/>
                <w:szCs w:val="28"/>
                <w:highlight w:val="none"/>
                <w:lang w:val="en-US" w:eastAsia="zh-CN"/>
              </w:rPr>
              <w:t>。</w:t>
            </w:r>
          </w:p>
        </w:tc>
      </w:tr>
      <w:tr w14:paraId="3410FB24">
        <w:tblPrEx>
          <w:tblCellMar>
            <w:top w:w="0" w:type="dxa"/>
            <w:left w:w="108" w:type="dxa"/>
            <w:bottom w:w="0" w:type="dxa"/>
            <w:right w:w="108" w:type="dxa"/>
          </w:tblCellMar>
        </w:tblPrEx>
        <w:trPr>
          <w:trHeight w:val="5820"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3480909">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13</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02ECC18">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多媒体会议系统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8F4DFC9">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r>
              <w:rPr>
                <w:rFonts w:hint="eastAsia" w:ascii="仿宋" w:hAnsi="仿宋" w:eastAsia="仿宋" w:cs="仿宋"/>
                <w:b w:val="0"/>
                <w:bCs w:val="0"/>
                <w:color w:val="auto"/>
                <w:kern w:val="0"/>
                <w:sz w:val="28"/>
                <w:szCs w:val="28"/>
                <w:highlight w:val="none"/>
                <w:lang w:eastAsia="zh-CN"/>
              </w:rPr>
              <w:t>、投影机</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E6D3FEE">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包含4个会议室、1个调解室、一个多功能厅，1个巡回法庭相关多媒体设备。</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2A4A600">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液晶电视、吸顶音箱 、数字功率放大器、多功能数字音频处理器、数字会议系统主机、反馈抑制器、调音台、分布式调度和图像综合管理平台系统、分布式调度和图像综合管理平台系统 、分布式音视频控制软件、12倍光学变焦摄像机、投影机等</w:t>
            </w:r>
            <w:r>
              <w:rPr>
                <w:rFonts w:hint="eastAsia" w:ascii="仿宋" w:hAnsi="仿宋" w:eastAsia="仿宋" w:cs="仿宋"/>
                <w:b w:val="0"/>
                <w:bCs w:val="0"/>
                <w:color w:val="auto"/>
                <w:kern w:val="0"/>
                <w:sz w:val="28"/>
                <w:szCs w:val="28"/>
                <w:highlight w:val="none"/>
                <w:lang w:eastAsia="zh-CN"/>
              </w:rPr>
              <w:t>。</w:t>
            </w:r>
          </w:p>
        </w:tc>
      </w:tr>
      <w:tr w14:paraId="24AE0B66">
        <w:tblPrEx>
          <w:tblCellMar>
            <w:top w:w="0" w:type="dxa"/>
            <w:left w:w="108" w:type="dxa"/>
            <w:bottom w:w="0" w:type="dxa"/>
            <w:right w:w="108" w:type="dxa"/>
          </w:tblCellMar>
        </w:tblPrEx>
        <w:trPr>
          <w:trHeight w:val="2785"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EF61B5B">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14</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B8A1DD9">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智能照明控制系统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82916B0">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71E0991">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通过智能控制模块和系统，实现灯光远程控制、集中控制、场景控制、区域控制（仅包含智能控制系统及控制模块）。</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0BAE673">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继电器控制模块 、电源模块、通信转换模块、智能控制面板、系统集成软件</w:t>
            </w:r>
            <w:r>
              <w:rPr>
                <w:rFonts w:hint="eastAsia" w:ascii="仿宋" w:hAnsi="仿宋" w:eastAsia="仿宋" w:cs="仿宋"/>
                <w:b w:val="0"/>
                <w:bCs w:val="0"/>
                <w:color w:val="auto"/>
                <w:kern w:val="0"/>
                <w:sz w:val="28"/>
                <w:szCs w:val="28"/>
                <w:highlight w:val="none"/>
                <w:lang w:eastAsia="zh-CN"/>
              </w:rPr>
              <w:t>。</w:t>
            </w:r>
          </w:p>
        </w:tc>
      </w:tr>
      <w:tr w14:paraId="20961DB8">
        <w:tblPrEx>
          <w:tblCellMar>
            <w:top w:w="0" w:type="dxa"/>
            <w:left w:w="108" w:type="dxa"/>
            <w:bottom w:w="0" w:type="dxa"/>
            <w:right w:w="108" w:type="dxa"/>
          </w:tblCellMar>
        </w:tblPrEx>
        <w:trPr>
          <w:trHeight w:val="3500"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EAFD20D">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15</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C69F19D">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智能抄表系统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778E52B">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67D1EE8">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通过能耗传感器等，对各楼层的电量进行智能化计量管理，同时采用采集建筑内中央空调能耗数据进行采集、运算、综合分析处理。</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038542F">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智能通信管理机、监控主机、远程抄表系统软件等</w:t>
            </w:r>
            <w:r>
              <w:rPr>
                <w:rFonts w:hint="eastAsia" w:ascii="仿宋" w:hAnsi="仿宋" w:eastAsia="仿宋" w:cs="仿宋"/>
                <w:b w:val="0"/>
                <w:bCs w:val="0"/>
                <w:color w:val="auto"/>
                <w:kern w:val="0"/>
                <w:sz w:val="28"/>
                <w:szCs w:val="28"/>
                <w:highlight w:val="none"/>
                <w:lang w:eastAsia="zh-CN"/>
              </w:rPr>
              <w:t>。</w:t>
            </w:r>
          </w:p>
        </w:tc>
      </w:tr>
      <w:tr w14:paraId="39C469C6">
        <w:tblPrEx>
          <w:tblCellMar>
            <w:top w:w="0" w:type="dxa"/>
            <w:left w:w="108" w:type="dxa"/>
            <w:bottom w:w="0" w:type="dxa"/>
            <w:right w:w="108" w:type="dxa"/>
          </w:tblCellMar>
        </w:tblPrEx>
        <w:trPr>
          <w:trHeight w:val="5145"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CDC7107">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16</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6E9F4BA">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建筑设备管理系统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49BFDC1">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5050BA0">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慧建筑管理系统主要包括建筑管理、建筑配置、建筑运营三部分。主要功能：显示各类应用报警数据、异常设备、异常应用列表数据展示、传感器数据分析、设备数据展示、楼宇监控告警、能源效能检测、水泵与各楼层风机监控、设备控制开关等。</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F80384B">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各类传感器、自由编程控制器、空气质量传感器网关、远传电表、楼控服务器、楼宇控制系统上位机组态软件、IP网络服务器等</w:t>
            </w:r>
            <w:r>
              <w:rPr>
                <w:rFonts w:hint="eastAsia" w:ascii="仿宋" w:hAnsi="仿宋" w:eastAsia="仿宋" w:cs="仿宋"/>
                <w:b w:val="0"/>
                <w:bCs w:val="0"/>
                <w:color w:val="auto"/>
                <w:kern w:val="0"/>
                <w:sz w:val="28"/>
                <w:szCs w:val="28"/>
                <w:highlight w:val="none"/>
                <w:lang w:eastAsia="zh-CN"/>
              </w:rPr>
              <w:t>。</w:t>
            </w:r>
          </w:p>
        </w:tc>
      </w:tr>
      <w:tr w14:paraId="1702A5D7">
        <w:tblPrEx>
          <w:tblCellMar>
            <w:top w:w="0" w:type="dxa"/>
            <w:left w:w="108" w:type="dxa"/>
            <w:bottom w:w="0" w:type="dxa"/>
            <w:right w:w="108" w:type="dxa"/>
          </w:tblCellMar>
        </w:tblPrEx>
        <w:trPr>
          <w:trHeight w:val="3765"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481F1D7">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17</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F26AA89">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UPS配电</w:t>
            </w:r>
          </w:p>
          <w:p w14:paraId="03BADEF3">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EE29095">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60C6CFC">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两台UPS为数据中心内设备（智能化网络设备、闭路电视监控系统、电子巡更系统、前端设备等）及监控室内设备（操作台、拼接屏、背景音乐系统设备、前端设备等）提供不间断电源。</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7A7D1EA">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20KVA UPS长机、电池柜 、配电箱等</w:t>
            </w:r>
            <w:r>
              <w:rPr>
                <w:rFonts w:hint="eastAsia" w:ascii="仿宋" w:hAnsi="仿宋" w:eastAsia="仿宋" w:cs="仿宋"/>
                <w:b w:val="0"/>
                <w:bCs w:val="0"/>
                <w:color w:val="auto"/>
                <w:kern w:val="0"/>
                <w:sz w:val="28"/>
                <w:szCs w:val="28"/>
                <w:highlight w:val="none"/>
                <w:lang w:eastAsia="zh-CN"/>
              </w:rPr>
              <w:t>。</w:t>
            </w:r>
          </w:p>
        </w:tc>
      </w:tr>
      <w:tr w14:paraId="460A8A07">
        <w:tblPrEx>
          <w:tblCellMar>
            <w:top w:w="0" w:type="dxa"/>
            <w:left w:w="108" w:type="dxa"/>
            <w:bottom w:w="0" w:type="dxa"/>
            <w:right w:w="108" w:type="dxa"/>
          </w:tblCellMar>
        </w:tblPrEx>
        <w:trPr>
          <w:trHeight w:val="3135"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21EF20A">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18</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64BDC50">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机房工程</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EEB201D">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6C4B68C">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机房包括数据机房及监控机房（机房</w:t>
            </w:r>
            <w:r>
              <w:rPr>
                <w:rFonts w:hint="eastAsia" w:ascii="仿宋" w:hAnsi="仿宋" w:eastAsia="仿宋" w:cs="仿宋"/>
                <w:b w:val="0"/>
                <w:bCs w:val="0"/>
                <w:color w:val="auto"/>
                <w:kern w:val="0"/>
                <w:sz w:val="28"/>
                <w:szCs w:val="28"/>
                <w:highlight w:val="none"/>
                <w:lang w:val="en-US" w:eastAsia="zh-CN"/>
              </w:rPr>
              <w:t>墙</w:t>
            </w:r>
            <w:r>
              <w:rPr>
                <w:rFonts w:hint="eastAsia" w:ascii="仿宋" w:hAnsi="仿宋" w:eastAsia="仿宋" w:cs="仿宋"/>
                <w:b w:val="0"/>
                <w:bCs w:val="0"/>
                <w:color w:val="auto"/>
                <w:kern w:val="0"/>
                <w:sz w:val="28"/>
                <w:szCs w:val="28"/>
                <w:highlight w:val="none"/>
              </w:rPr>
              <w:t>面地板、防尘防潮和保温处理），本次机房建设主要包括机房配电、接地、精密空调、机房动</w:t>
            </w:r>
            <w:r>
              <w:rPr>
                <w:rFonts w:hint="eastAsia" w:ascii="仿宋" w:hAnsi="仿宋" w:eastAsia="仿宋" w:cs="仿宋"/>
                <w:b w:val="0"/>
                <w:bCs w:val="0"/>
                <w:color w:val="auto"/>
                <w:kern w:val="0"/>
                <w:sz w:val="28"/>
                <w:szCs w:val="28"/>
                <w:highlight w:val="none"/>
                <w:lang w:val="en-US" w:eastAsia="zh-CN"/>
              </w:rPr>
              <w:t>态</w:t>
            </w:r>
            <w:bookmarkStart w:id="2" w:name="_GoBack"/>
            <w:bookmarkEnd w:id="2"/>
            <w:r>
              <w:rPr>
                <w:rFonts w:hint="eastAsia" w:ascii="仿宋" w:hAnsi="仿宋" w:eastAsia="仿宋" w:cs="仿宋"/>
                <w:b w:val="0"/>
                <w:bCs w:val="0"/>
                <w:color w:val="auto"/>
                <w:kern w:val="0"/>
                <w:sz w:val="28"/>
                <w:szCs w:val="28"/>
                <w:highlight w:val="none"/>
              </w:rPr>
              <w:t>监测系统等。</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D1F1332">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机房空调、柜体、PDU插座、语音通知系统、摄像头、烟雾探测器、温度传感器、4P柜式空调等</w:t>
            </w:r>
            <w:r>
              <w:rPr>
                <w:rFonts w:hint="eastAsia" w:ascii="仿宋" w:hAnsi="仿宋" w:eastAsia="仿宋" w:cs="仿宋"/>
                <w:b w:val="0"/>
                <w:bCs w:val="0"/>
                <w:color w:val="auto"/>
                <w:kern w:val="0"/>
                <w:sz w:val="28"/>
                <w:szCs w:val="28"/>
                <w:highlight w:val="none"/>
                <w:lang w:eastAsia="zh-CN"/>
              </w:rPr>
              <w:t>。</w:t>
            </w:r>
          </w:p>
        </w:tc>
      </w:tr>
      <w:tr w14:paraId="2380C0D3">
        <w:tblPrEx>
          <w:tblCellMar>
            <w:top w:w="0" w:type="dxa"/>
            <w:left w:w="108" w:type="dxa"/>
            <w:bottom w:w="0" w:type="dxa"/>
            <w:right w:w="108" w:type="dxa"/>
          </w:tblCellMar>
        </w:tblPrEx>
        <w:trPr>
          <w:trHeight w:val="5285"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69682CD">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19</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73C2395">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互动展示服务系统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7F6674C">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eastAsia="zh-CN"/>
              </w:rPr>
              <w:t>团队智慧讲解系统</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01731BF">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团队智慧讲解系统主要功能可实现移动讲解，可在湾区展示中心</w:t>
            </w:r>
            <w:r>
              <w:rPr>
                <w:rFonts w:hint="eastAsia" w:ascii="仿宋" w:hAnsi="仿宋" w:eastAsia="仿宋" w:cs="仿宋"/>
                <w:b w:val="0"/>
                <w:bCs w:val="0"/>
                <w:color w:val="auto"/>
                <w:kern w:val="0"/>
                <w:sz w:val="28"/>
                <w:szCs w:val="28"/>
                <w:highlight w:val="none"/>
                <w:lang w:val="en-US" w:eastAsia="zh-CN"/>
              </w:rPr>
              <w:t>2</w:t>
            </w:r>
            <w:r>
              <w:rPr>
                <w:rFonts w:hint="eastAsia" w:ascii="仿宋" w:hAnsi="仿宋" w:eastAsia="仿宋" w:cs="仿宋"/>
                <w:b w:val="0"/>
                <w:bCs w:val="0"/>
                <w:color w:val="auto"/>
                <w:kern w:val="0"/>
                <w:sz w:val="28"/>
                <w:szCs w:val="28"/>
                <w:highlight w:val="none"/>
              </w:rPr>
              <w:t>-7层自动定位切换信号，做到无缝连接。奇信小π机器人是物联网和人工智能结合的产物，其搭载奇π物联网云平台，兼具萌动精灵外表，融合深度的环境感知、动态监控、数据汇聚、智能决策，以及结合大数据云计算及机器学习。从而实现展厅讲解，互动功能。</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1B60BCD">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团队智慧设备、路由器、触控端平板、工作站</w:t>
            </w:r>
            <w:r>
              <w:rPr>
                <w:rFonts w:hint="eastAsia" w:ascii="仿宋" w:hAnsi="仿宋" w:eastAsia="仿宋" w:cs="仿宋"/>
                <w:b w:val="0"/>
                <w:bCs w:val="0"/>
                <w:color w:val="auto"/>
                <w:kern w:val="0"/>
                <w:sz w:val="28"/>
                <w:szCs w:val="28"/>
                <w:highlight w:val="none"/>
                <w:lang w:eastAsia="zh-CN"/>
              </w:rPr>
              <w:t>。</w:t>
            </w:r>
          </w:p>
        </w:tc>
      </w:tr>
      <w:tr w14:paraId="53C60C0F">
        <w:tblPrEx>
          <w:tblCellMar>
            <w:top w:w="0" w:type="dxa"/>
            <w:left w:w="108" w:type="dxa"/>
            <w:bottom w:w="0" w:type="dxa"/>
            <w:right w:w="108" w:type="dxa"/>
          </w:tblCellMar>
        </w:tblPrEx>
        <w:trPr>
          <w:trHeight w:val="2170"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53A7AFE">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20</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BFB5B67">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信息化</w:t>
            </w:r>
          </w:p>
          <w:p w14:paraId="1570E449">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平台硬件部分</w:t>
            </w:r>
          </w:p>
        </w:tc>
        <w:tc>
          <w:tcPr>
            <w:tcW w:w="735" w:type="pct"/>
            <w:tcBorders>
              <w:top w:val="single" w:color="auto" w:sz="4" w:space="0"/>
              <w:left w:val="nil"/>
              <w:bottom w:val="single" w:color="auto" w:sz="4" w:space="0"/>
              <w:right w:val="single" w:color="auto" w:sz="4" w:space="0"/>
            </w:tcBorders>
            <w:shd w:val="clear" w:color="000000" w:fill="FFFFFF"/>
            <w:noWrap w:val="0"/>
            <w:vAlign w:val="center"/>
          </w:tcPr>
          <w:p w14:paraId="36346274">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智能化硬件</w:t>
            </w:r>
            <w:r>
              <w:rPr>
                <w:rFonts w:hint="eastAsia" w:ascii="仿宋" w:hAnsi="仿宋" w:eastAsia="仿宋" w:cs="仿宋"/>
                <w:b w:val="0"/>
                <w:bCs w:val="0"/>
                <w:color w:val="auto"/>
                <w:kern w:val="0"/>
                <w:sz w:val="28"/>
                <w:szCs w:val="28"/>
                <w:highlight w:val="none"/>
                <w:lang w:val="en-US" w:eastAsia="zh-CN"/>
              </w:rPr>
              <w:t>设备</w:t>
            </w:r>
          </w:p>
        </w:tc>
        <w:tc>
          <w:tcPr>
            <w:tcW w:w="1927" w:type="pct"/>
            <w:tcBorders>
              <w:top w:val="single" w:color="auto" w:sz="4" w:space="0"/>
              <w:left w:val="nil"/>
              <w:bottom w:val="single" w:color="auto" w:sz="4" w:space="0"/>
              <w:right w:val="single" w:color="auto" w:sz="4" w:space="0"/>
            </w:tcBorders>
            <w:shd w:val="clear" w:color="000000" w:fill="FFFFFF"/>
            <w:noWrap w:val="0"/>
            <w:vAlign w:val="center"/>
          </w:tcPr>
          <w:p w14:paraId="5FD71F2A">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华为服务器，其中10台提供信息中心部署虚拟机，其余部署湾区展示中心机房，用于实施智能化系统部署。</w:t>
            </w:r>
          </w:p>
        </w:tc>
        <w:tc>
          <w:tcPr>
            <w:tcW w:w="1277" w:type="pct"/>
            <w:tcBorders>
              <w:top w:val="single" w:color="auto" w:sz="4" w:space="0"/>
              <w:left w:val="nil"/>
              <w:bottom w:val="single" w:color="auto" w:sz="4" w:space="0"/>
              <w:right w:val="single" w:color="auto" w:sz="4" w:space="0"/>
            </w:tcBorders>
            <w:shd w:val="clear" w:color="000000" w:fill="FFFFFF"/>
            <w:noWrap w:val="0"/>
            <w:vAlign w:val="center"/>
          </w:tcPr>
          <w:p w14:paraId="567F01BC">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华为服务器14台、图形服务器6台、10G连接线缆及接口模块等</w:t>
            </w:r>
            <w:r>
              <w:rPr>
                <w:rFonts w:hint="eastAsia" w:ascii="仿宋" w:hAnsi="仿宋" w:eastAsia="仿宋" w:cs="仿宋"/>
                <w:b w:val="0"/>
                <w:bCs w:val="0"/>
                <w:color w:val="auto"/>
                <w:kern w:val="0"/>
                <w:sz w:val="28"/>
                <w:szCs w:val="28"/>
                <w:highlight w:val="none"/>
                <w:lang w:eastAsia="zh-CN"/>
              </w:rPr>
              <w:t>。</w:t>
            </w:r>
          </w:p>
        </w:tc>
      </w:tr>
      <w:tr w14:paraId="626EC7C2">
        <w:tblPrEx>
          <w:tblCellMar>
            <w:top w:w="0" w:type="dxa"/>
            <w:left w:w="108" w:type="dxa"/>
            <w:bottom w:w="0" w:type="dxa"/>
            <w:right w:w="108" w:type="dxa"/>
          </w:tblCellMar>
        </w:tblPrEx>
        <w:trPr>
          <w:trHeight w:val="5005" w:hRule="atLeast"/>
          <w:jc w:val="center"/>
        </w:trPr>
        <w:tc>
          <w:tcPr>
            <w:tcW w:w="308" w:type="pct"/>
            <w:tcBorders>
              <w:top w:val="nil"/>
              <w:left w:val="single" w:color="auto" w:sz="4" w:space="0"/>
              <w:bottom w:val="single" w:color="auto" w:sz="4" w:space="0"/>
              <w:right w:val="single" w:color="auto" w:sz="4" w:space="0"/>
            </w:tcBorders>
            <w:shd w:val="clear" w:color="000000" w:fill="FFFFFF"/>
            <w:noWrap w:val="0"/>
            <w:vAlign w:val="center"/>
          </w:tcPr>
          <w:p w14:paraId="45518BB6">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21</w:t>
            </w:r>
          </w:p>
        </w:tc>
        <w:tc>
          <w:tcPr>
            <w:tcW w:w="751" w:type="pct"/>
            <w:tcBorders>
              <w:top w:val="nil"/>
              <w:left w:val="single" w:color="auto" w:sz="4" w:space="0"/>
              <w:bottom w:val="single" w:color="auto" w:sz="4" w:space="0"/>
              <w:right w:val="single" w:color="auto" w:sz="4" w:space="0"/>
            </w:tcBorders>
            <w:shd w:val="clear" w:color="000000" w:fill="FFFFFF"/>
            <w:noWrap w:val="0"/>
            <w:vAlign w:val="center"/>
          </w:tcPr>
          <w:p w14:paraId="1A203443">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多媒体</w:t>
            </w:r>
          </w:p>
          <w:p w14:paraId="6334E5C8">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工程</w:t>
            </w:r>
          </w:p>
        </w:tc>
        <w:tc>
          <w:tcPr>
            <w:tcW w:w="735" w:type="pct"/>
            <w:tcBorders>
              <w:top w:val="nil"/>
              <w:left w:val="nil"/>
              <w:bottom w:val="single" w:color="auto" w:sz="4" w:space="0"/>
              <w:right w:val="single" w:color="auto" w:sz="4" w:space="0"/>
            </w:tcBorders>
            <w:shd w:val="clear" w:color="000000" w:fill="FFFFFF"/>
            <w:noWrap w:val="0"/>
            <w:vAlign w:val="center"/>
          </w:tcPr>
          <w:p w14:paraId="729CD9E4">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LED工程</w:t>
            </w:r>
            <w:r>
              <w:rPr>
                <w:rFonts w:hint="eastAsia" w:ascii="仿宋" w:hAnsi="仿宋" w:eastAsia="仿宋" w:cs="仿宋"/>
                <w:b w:val="0"/>
                <w:bCs w:val="0"/>
                <w:color w:val="auto"/>
                <w:kern w:val="0"/>
                <w:sz w:val="28"/>
                <w:szCs w:val="28"/>
                <w:highlight w:val="none"/>
                <w:lang w:eastAsia="zh-CN"/>
              </w:rPr>
              <w:t>、投影机、拼接屏</w:t>
            </w:r>
          </w:p>
        </w:tc>
        <w:tc>
          <w:tcPr>
            <w:tcW w:w="1927" w:type="pct"/>
            <w:tcBorders>
              <w:top w:val="nil"/>
              <w:left w:val="nil"/>
              <w:bottom w:val="single" w:color="auto" w:sz="4" w:space="0"/>
              <w:right w:val="single" w:color="auto" w:sz="4" w:space="0"/>
            </w:tcBorders>
            <w:shd w:val="clear" w:color="000000" w:fill="FFFFFF"/>
            <w:noWrap w:val="0"/>
            <w:vAlign w:val="center"/>
          </w:tcPr>
          <w:p w14:paraId="62691034">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lang w:eastAsia="zh-CN"/>
              </w:rPr>
              <w:t>展馆</w:t>
            </w:r>
            <w:r>
              <w:rPr>
                <w:rFonts w:hint="eastAsia" w:ascii="仿宋" w:hAnsi="仿宋" w:eastAsia="仿宋" w:cs="仿宋"/>
                <w:b w:val="0"/>
                <w:bCs w:val="0"/>
                <w:color w:val="auto"/>
                <w:kern w:val="0"/>
                <w:sz w:val="28"/>
                <w:szCs w:val="28"/>
                <w:highlight w:val="none"/>
              </w:rPr>
              <w:t>设备支撑，包含2-6层LED大屏、液晶拼接屏、2层投影仪、1层走字屏多媒体相关设备。</w:t>
            </w:r>
          </w:p>
        </w:tc>
        <w:tc>
          <w:tcPr>
            <w:tcW w:w="1277" w:type="pct"/>
            <w:tcBorders>
              <w:top w:val="nil"/>
              <w:left w:val="nil"/>
              <w:bottom w:val="single" w:color="auto" w:sz="4" w:space="0"/>
              <w:right w:val="single" w:color="auto" w:sz="4" w:space="0"/>
            </w:tcBorders>
            <w:shd w:val="clear" w:color="000000" w:fill="FFFFFF"/>
            <w:noWrap w:val="0"/>
            <w:vAlign w:val="center"/>
          </w:tcPr>
          <w:p w14:paraId="517B0533">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LED大屏、100寸触摸一体机、工程激光投影机、软件融合系统、46寸电容触摸一体机、55寸液晶拼接屏、65寸液晶拼接屏、视频拼接处理器、4500流明激光投影仪、走字屏</w:t>
            </w:r>
            <w:r>
              <w:rPr>
                <w:rFonts w:hint="eastAsia" w:ascii="仿宋" w:hAnsi="仿宋" w:eastAsia="仿宋" w:cs="仿宋"/>
                <w:b w:val="0"/>
                <w:bCs w:val="0"/>
                <w:color w:val="auto"/>
                <w:kern w:val="0"/>
                <w:sz w:val="28"/>
                <w:szCs w:val="28"/>
                <w:highlight w:val="none"/>
                <w:lang w:eastAsia="zh-CN"/>
              </w:rPr>
              <w:t>。</w:t>
            </w:r>
          </w:p>
        </w:tc>
      </w:tr>
      <w:tr w14:paraId="292EFE7A">
        <w:tblPrEx>
          <w:tblCellMar>
            <w:top w:w="0" w:type="dxa"/>
            <w:left w:w="108" w:type="dxa"/>
            <w:bottom w:w="0" w:type="dxa"/>
            <w:right w:w="108" w:type="dxa"/>
          </w:tblCellMar>
        </w:tblPrEx>
        <w:trPr>
          <w:trHeight w:val="2934"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02DBD5C">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22</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4905DBB">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信息发布系统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089E2E8">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信息发布系统</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462FE0C">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用于湾区展示中心三、四楼展位电视机视频发布。主要功能包括素材管理、设备维护、内容维护、播放列表管理、推送发布管理、内容状态查询。</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74ABD16">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瑞致达4K集成视频处理器、瑞致达超高清视频集成系统主机、信息发布系统软件</w:t>
            </w:r>
            <w:r>
              <w:rPr>
                <w:rFonts w:hint="eastAsia" w:ascii="仿宋" w:hAnsi="仿宋" w:eastAsia="仿宋" w:cs="仿宋"/>
                <w:b w:val="0"/>
                <w:bCs w:val="0"/>
                <w:color w:val="auto"/>
                <w:kern w:val="0"/>
                <w:sz w:val="28"/>
                <w:szCs w:val="28"/>
                <w:highlight w:val="none"/>
                <w:lang w:eastAsia="zh-CN"/>
              </w:rPr>
              <w:t>。</w:t>
            </w:r>
          </w:p>
        </w:tc>
      </w:tr>
      <w:tr w14:paraId="57D20FFE">
        <w:tblPrEx>
          <w:tblCellMar>
            <w:top w:w="0" w:type="dxa"/>
            <w:left w:w="108" w:type="dxa"/>
            <w:bottom w:w="0" w:type="dxa"/>
            <w:right w:w="108" w:type="dxa"/>
          </w:tblCellMar>
        </w:tblPrEx>
        <w:trPr>
          <w:trHeight w:val="2920"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D5A385F">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23</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110DE1F">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智能中控系统</w:t>
            </w:r>
          </w:p>
        </w:tc>
        <w:tc>
          <w:tcPr>
            <w:tcW w:w="735" w:type="pct"/>
            <w:tcBorders>
              <w:top w:val="single" w:color="auto" w:sz="4" w:space="0"/>
              <w:left w:val="nil"/>
              <w:bottom w:val="single" w:color="auto" w:sz="4" w:space="0"/>
              <w:right w:val="single" w:color="auto" w:sz="4" w:space="0"/>
            </w:tcBorders>
            <w:shd w:val="clear" w:color="000000" w:fill="FFFFFF"/>
            <w:noWrap w:val="0"/>
            <w:vAlign w:val="center"/>
          </w:tcPr>
          <w:p w14:paraId="32E5C82B">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中控集成系统</w:t>
            </w:r>
          </w:p>
        </w:tc>
        <w:tc>
          <w:tcPr>
            <w:tcW w:w="1927" w:type="pct"/>
            <w:tcBorders>
              <w:top w:val="single" w:color="auto" w:sz="4" w:space="0"/>
              <w:left w:val="nil"/>
              <w:bottom w:val="single" w:color="auto" w:sz="4" w:space="0"/>
              <w:right w:val="single" w:color="auto" w:sz="4" w:space="0"/>
            </w:tcBorders>
            <w:shd w:val="clear" w:color="000000" w:fill="FFFFFF"/>
            <w:noWrap w:val="0"/>
            <w:vAlign w:val="center"/>
          </w:tcPr>
          <w:p w14:paraId="1EF0E96F">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主要功能用于平板和中控电脑控制展馆2-5楼设备开关。</w:t>
            </w:r>
          </w:p>
        </w:tc>
        <w:tc>
          <w:tcPr>
            <w:tcW w:w="1277" w:type="pct"/>
            <w:tcBorders>
              <w:top w:val="single" w:color="auto" w:sz="4" w:space="0"/>
              <w:left w:val="nil"/>
              <w:bottom w:val="single" w:color="auto" w:sz="4" w:space="0"/>
              <w:right w:val="single" w:color="auto" w:sz="4" w:space="0"/>
            </w:tcBorders>
            <w:shd w:val="clear" w:color="000000" w:fill="FFFFFF"/>
            <w:noWrap w:val="0"/>
            <w:vAlign w:val="center"/>
          </w:tcPr>
          <w:p w14:paraId="0CF47A07">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中控主机、终端控制设备及系统、电源时序、中控系统软件、继电开关、强电控制模块等</w:t>
            </w:r>
            <w:r>
              <w:rPr>
                <w:rFonts w:hint="eastAsia" w:ascii="仿宋" w:hAnsi="仿宋" w:eastAsia="仿宋" w:cs="仿宋"/>
                <w:b w:val="0"/>
                <w:bCs w:val="0"/>
                <w:color w:val="auto"/>
                <w:kern w:val="0"/>
                <w:sz w:val="28"/>
                <w:szCs w:val="28"/>
                <w:highlight w:val="none"/>
                <w:lang w:eastAsia="zh-CN"/>
              </w:rPr>
              <w:t>。</w:t>
            </w:r>
          </w:p>
        </w:tc>
      </w:tr>
      <w:tr w14:paraId="36505286">
        <w:tblPrEx>
          <w:tblCellMar>
            <w:top w:w="0" w:type="dxa"/>
            <w:left w:w="108" w:type="dxa"/>
            <w:bottom w:w="0" w:type="dxa"/>
            <w:right w:w="108" w:type="dxa"/>
          </w:tblCellMar>
        </w:tblPrEx>
        <w:trPr>
          <w:trHeight w:val="3005" w:hRule="atLeast"/>
          <w:jc w:val="center"/>
        </w:trPr>
        <w:tc>
          <w:tcPr>
            <w:tcW w:w="308" w:type="pct"/>
            <w:tcBorders>
              <w:top w:val="nil"/>
              <w:left w:val="single" w:color="auto" w:sz="4" w:space="0"/>
              <w:bottom w:val="single" w:color="auto" w:sz="4" w:space="0"/>
              <w:right w:val="single" w:color="auto" w:sz="4" w:space="0"/>
            </w:tcBorders>
            <w:shd w:val="clear" w:color="000000" w:fill="FFFFFF"/>
            <w:noWrap w:val="0"/>
            <w:vAlign w:val="center"/>
          </w:tcPr>
          <w:p w14:paraId="25A88417">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24</w:t>
            </w:r>
          </w:p>
        </w:tc>
        <w:tc>
          <w:tcPr>
            <w:tcW w:w="751" w:type="pct"/>
            <w:tcBorders>
              <w:top w:val="nil"/>
              <w:left w:val="single" w:color="auto" w:sz="4" w:space="0"/>
              <w:bottom w:val="single" w:color="auto" w:sz="4" w:space="0"/>
              <w:right w:val="single" w:color="auto" w:sz="4" w:space="0"/>
            </w:tcBorders>
            <w:shd w:val="clear" w:color="000000" w:fill="FFFFFF"/>
            <w:noWrap w:val="0"/>
            <w:vAlign w:val="center"/>
          </w:tcPr>
          <w:p w14:paraId="2D47F668">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多媒体</w:t>
            </w:r>
          </w:p>
          <w:p w14:paraId="00B1A7D4">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播控系统</w:t>
            </w:r>
          </w:p>
        </w:tc>
        <w:tc>
          <w:tcPr>
            <w:tcW w:w="735" w:type="pct"/>
            <w:tcBorders>
              <w:top w:val="nil"/>
              <w:left w:val="nil"/>
              <w:bottom w:val="single" w:color="auto" w:sz="4" w:space="0"/>
              <w:right w:val="single" w:color="auto" w:sz="4" w:space="0"/>
            </w:tcBorders>
            <w:shd w:val="clear" w:color="000000" w:fill="FFFFFF"/>
            <w:noWrap w:val="0"/>
            <w:vAlign w:val="center"/>
          </w:tcPr>
          <w:p w14:paraId="616E09A6">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播控系统</w:t>
            </w:r>
          </w:p>
        </w:tc>
        <w:tc>
          <w:tcPr>
            <w:tcW w:w="1927" w:type="pct"/>
            <w:tcBorders>
              <w:top w:val="nil"/>
              <w:left w:val="nil"/>
              <w:bottom w:val="single" w:color="auto" w:sz="4" w:space="0"/>
              <w:right w:val="single" w:color="auto" w:sz="4" w:space="0"/>
            </w:tcBorders>
            <w:shd w:val="clear" w:color="000000" w:fill="FFFFFF"/>
            <w:noWrap w:val="0"/>
            <w:vAlign w:val="center"/>
          </w:tcPr>
          <w:p w14:paraId="3E56D6AA">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通过专业软件及设备，控制五楼LED大屏、柱屏内容编辑、实时</w:t>
            </w:r>
            <w:r>
              <w:rPr>
                <w:rFonts w:hint="eastAsia" w:ascii="仿宋" w:hAnsi="仿宋" w:eastAsia="仿宋" w:cs="仿宋"/>
                <w:b w:val="0"/>
                <w:bCs w:val="0"/>
                <w:color w:val="auto"/>
                <w:kern w:val="0"/>
                <w:sz w:val="28"/>
                <w:szCs w:val="28"/>
                <w:highlight w:val="none"/>
                <w:lang w:val="en-US" w:eastAsia="zh-CN"/>
              </w:rPr>
              <w:t>推流、</w:t>
            </w:r>
            <w:r>
              <w:rPr>
                <w:rFonts w:hint="eastAsia" w:ascii="仿宋" w:hAnsi="仿宋" w:eastAsia="仿宋" w:cs="仿宋"/>
                <w:b w:val="0"/>
                <w:bCs w:val="0"/>
                <w:color w:val="auto"/>
                <w:kern w:val="0"/>
                <w:sz w:val="28"/>
                <w:szCs w:val="28"/>
                <w:highlight w:val="none"/>
              </w:rPr>
              <w:t>控制切换和发布管理。</w:t>
            </w:r>
          </w:p>
        </w:tc>
        <w:tc>
          <w:tcPr>
            <w:tcW w:w="1277" w:type="pct"/>
            <w:tcBorders>
              <w:top w:val="nil"/>
              <w:left w:val="nil"/>
              <w:bottom w:val="single" w:color="auto" w:sz="4" w:space="0"/>
              <w:right w:val="single" w:color="auto" w:sz="4" w:space="0"/>
            </w:tcBorders>
            <w:shd w:val="clear" w:color="000000" w:fill="FFFFFF"/>
            <w:noWrap w:val="0"/>
            <w:vAlign w:val="center"/>
          </w:tcPr>
          <w:p w14:paraId="02AEBDBA">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PHANTOX C4 软件、服务器切换器、视频拼接处理器、矩阵切换器、HDMI转换盒</w:t>
            </w:r>
            <w:r>
              <w:rPr>
                <w:rFonts w:hint="eastAsia" w:ascii="仿宋" w:hAnsi="仿宋" w:eastAsia="仿宋" w:cs="仿宋"/>
                <w:b w:val="0"/>
                <w:bCs w:val="0"/>
                <w:color w:val="auto"/>
                <w:kern w:val="0"/>
                <w:sz w:val="28"/>
                <w:szCs w:val="28"/>
                <w:highlight w:val="none"/>
                <w:lang w:eastAsia="zh-CN"/>
              </w:rPr>
              <w:t>。</w:t>
            </w:r>
          </w:p>
        </w:tc>
      </w:tr>
      <w:tr w14:paraId="515009B6">
        <w:tblPrEx>
          <w:tblCellMar>
            <w:top w:w="0" w:type="dxa"/>
            <w:left w:w="108" w:type="dxa"/>
            <w:bottom w:w="0" w:type="dxa"/>
            <w:right w:w="108" w:type="dxa"/>
          </w:tblCellMar>
        </w:tblPrEx>
        <w:trPr>
          <w:trHeight w:val="3850" w:hRule="atLeast"/>
          <w:jc w:val="center"/>
        </w:trPr>
        <w:tc>
          <w:tcPr>
            <w:tcW w:w="308" w:type="pct"/>
            <w:tcBorders>
              <w:top w:val="nil"/>
              <w:left w:val="single" w:color="auto" w:sz="4" w:space="0"/>
              <w:bottom w:val="single" w:color="auto" w:sz="4" w:space="0"/>
              <w:right w:val="single" w:color="auto" w:sz="4" w:space="0"/>
            </w:tcBorders>
            <w:shd w:val="clear" w:color="000000" w:fill="FFFFFF"/>
            <w:noWrap w:val="0"/>
            <w:vAlign w:val="center"/>
          </w:tcPr>
          <w:p w14:paraId="3427213B">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25</w:t>
            </w:r>
          </w:p>
        </w:tc>
        <w:tc>
          <w:tcPr>
            <w:tcW w:w="751" w:type="pct"/>
            <w:tcBorders>
              <w:top w:val="nil"/>
              <w:left w:val="single" w:color="auto" w:sz="4" w:space="0"/>
              <w:bottom w:val="single" w:color="auto" w:sz="4" w:space="0"/>
              <w:right w:val="single" w:color="auto" w:sz="4" w:space="0"/>
            </w:tcBorders>
            <w:shd w:val="clear" w:color="000000" w:fill="FFFFFF"/>
            <w:noWrap w:val="0"/>
            <w:vAlign w:val="center"/>
          </w:tcPr>
          <w:p w14:paraId="5ED77AE5">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独立会议音响系统</w:t>
            </w:r>
          </w:p>
        </w:tc>
        <w:tc>
          <w:tcPr>
            <w:tcW w:w="735" w:type="pct"/>
            <w:tcBorders>
              <w:top w:val="nil"/>
              <w:left w:val="nil"/>
              <w:bottom w:val="single" w:color="auto" w:sz="4" w:space="0"/>
              <w:right w:val="single" w:color="auto" w:sz="4" w:space="0"/>
            </w:tcBorders>
            <w:shd w:val="clear" w:color="000000" w:fill="FFFFFF"/>
            <w:noWrap w:val="0"/>
            <w:vAlign w:val="center"/>
          </w:tcPr>
          <w:p w14:paraId="0109F0E4">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音响系统</w:t>
            </w:r>
          </w:p>
        </w:tc>
        <w:tc>
          <w:tcPr>
            <w:tcW w:w="1927" w:type="pct"/>
            <w:tcBorders>
              <w:top w:val="nil"/>
              <w:left w:val="nil"/>
              <w:bottom w:val="single" w:color="auto" w:sz="4" w:space="0"/>
              <w:right w:val="single" w:color="auto" w:sz="4" w:space="0"/>
            </w:tcBorders>
            <w:shd w:val="clear" w:color="000000" w:fill="FFFFFF"/>
            <w:noWrap w:val="0"/>
            <w:vAlign w:val="center"/>
          </w:tcPr>
          <w:p w14:paraId="369F86B4">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5楼发布厅综合音响系统。</w:t>
            </w:r>
          </w:p>
        </w:tc>
        <w:tc>
          <w:tcPr>
            <w:tcW w:w="1277" w:type="pct"/>
            <w:tcBorders>
              <w:top w:val="nil"/>
              <w:left w:val="nil"/>
              <w:bottom w:val="single" w:color="auto" w:sz="4" w:space="0"/>
              <w:right w:val="single" w:color="auto" w:sz="4" w:space="0"/>
            </w:tcBorders>
            <w:shd w:val="clear" w:color="000000" w:fill="FFFFFF"/>
            <w:noWrap w:val="0"/>
            <w:vAlign w:val="center"/>
          </w:tcPr>
          <w:p w14:paraId="61019480">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二分频音柱音箱、专业功放、24路数字调音台、数字音频矩阵混音处理器、有线及无线麦克风、天线放大器等</w:t>
            </w:r>
            <w:r>
              <w:rPr>
                <w:rFonts w:hint="eastAsia" w:ascii="仿宋" w:hAnsi="仿宋" w:eastAsia="仿宋" w:cs="仿宋"/>
                <w:b w:val="0"/>
                <w:bCs w:val="0"/>
                <w:color w:val="auto"/>
                <w:kern w:val="0"/>
                <w:sz w:val="28"/>
                <w:szCs w:val="28"/>
                <w:highlight w:val="none"/>
                <w:lang w:eastAsia="zh-CN"/>
              </w:rPr>
              <w:t>。</w:t>
            </w:r>
          </w:p>
        </w:tc>
      </w:tr>
      <w:tr w14:paraId="7ABC637D">
        <w:tblPrEx>
          <w:tblCellMar>
            <w:top w:w="0" w:type="dxa"/>
            <w:left w:w="108" w:type="dxa"/>
            <w:bottom w:w="0" w:type="dxa"/>
            <w:right w:w="108" w:type="dxa"/>
          </w:tblCellMar>
        </w:tblPrEx>
        <w:trPr>
          <w:trHeight w:val="2980"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C6B7F96">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26</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62372B6">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循环会展电视系统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6B30400">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循环会展电视</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723325">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3-4楼展位背景墙内嵌超薄4K液晶电视，展示参展商提供的视频或图片资料。</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1C1B553">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rPr>
              <w:t>TM50信息发布主机、创维 50H9S 50英寸4K液晶电视、交换机、智能网关</w:t>
            </w:r>
            <w:r>
              <w:rPr>
                <w:rFonts w:hint="eastAsia" w:ascii="仿宋" w:hAnsi="仿宋" w:eastAsia="仿宋" w:cs="仿宋"/>
                <w:b w:val="0"/>
                <w:bCs w:val="0"/>
                <w:color w:val="auto"/>
                <w:kern w:val="0"/>
                <w:sz w:val="28"/>
                <w:szCs w:val="28"/>
                <w:highlight w:val="none"/>
                <w:lang w:val="en-US" w:eastAsia="zh-CN"/>
              </w:rPr>
              <w:t>等。</w:t>
            </w:r>
          </w:p>
        </w:tc>
      </w:tr>
      <w:tr w14:paraId="1AEE0528">
        <w:tblPrEx>
          <w:tblCellMar>
            <w:top w:w="0" w:type="dxa"/>
            <w:left w:w="108" w:type="dxa"/>
            <w:bottom w:w="0" w:type="dxa"/>
            <w:right w:w="108" w:type="dxa"/>
          </w:tblCellMar>
        </w:tblPrEx>
        <w:trPr>
          <w:trHeight w:val="3700"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2664F8D">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27</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34ABF0F">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远程会议系统</w:t>
            </w:r>
          </w:p>
        </w:tc>
        <w:tc>
          <w:tcPr>
            <w:tcW w:w="73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AC3892A">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rPr>
              <w:t>智能化硬件+布线</w:t>
            </w:r>
          </w:p>
        </w:tc>
        <w:tc>
          <w:tcPr>
            <w:tcW w:w="192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1B34A5D">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通过五楼发布厅大屏实时多人远程视频会议，1080P高清视频图像，以及多种音频技术实现唇音同步； 高保真语音的传输，无论是office文档、PDF、应用程序，还是音视频文件，均可同步展示给所有与会者观看。</w:t>
            </w:r>
          </w:p>
        </w:tc>
        <w:tc>
          <w:tcPr>
            <w:tcW w:w="127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51EF202">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视频会议主机、高清视频终端、音箱、话筒、会议用电视机、音频处理器</w:t>
            </w:r>
            <w:r>
              <w:rPr>
                <w:rFonts w:hint="eastAsia" w:ascii="仿宋" w:hAnsi="仿宋" w:eastAsia="仿宋" w:cs="仿宋"/>
                <w:b w:val="0"/>
                <w:bCs w:val="0"/>
                <w:color w:val="auto"/>
                <w:kern w:val="0"/>
                <w:sz w:val="28"/>
                <w:szCs w:val="28"/>
                <w:highlight w:val="none"/>
                <w:lang w:eastAsia="zh-CN"/>
              </w:rPr>
              <w:t>。</w:t>
            </w:r>
          </w:p>
        </w:tc>
      </w:tr>
      <w:tr w14:paraId="3429E0BB">
        <w:tblPrEx>
          <w:tblCellMar>
            <w:top w:w="0" w:type="dxa"/>
            <w:left w:w="108" w:type="dxa"/>
            <w:bottom w:w="0" w:type="dxa"/>
            <w:right w:w="108" w:type="dxa"/>
          </w:tblCellMar>
        </w:tblPrEx>
        <w:trPr>
          <w:trHeight w:val="2485" w:hRule="atLeast"/>
          <w:jc w:val="center"/>
        </w:trPr>
        <w:tc>
          <w:tcPr>
            <w:tcW w:w="30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F923849">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28</w:t>
            </w:r>
          </w:p>
        </w:tc>
        <w:tc>
          <w:tcPr>
            <w:tcW w:w="75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005E529">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安检系统</w:t>
            </w:r>
          </w:p>
        </w:tc>
        <w:tc>
          <w:tcPr>
            <w:tcW w:w="735" w:type="pct"/>
            <w:tcBorders>
              <w:top w:val="single" w:color="auto" w:sz="4" w:space="0"/>
              <w:left w:val="nil"/>
              <w:bottom w:val="single" w:color="auto" w:sz="4" w:space="0"/>
              <w:right w:val="single" w:color="auto" w:sz="4" w:space="0"/>
            </w:tcBorders>
            <w:shd w:val="clear" w:color="000000" w:fill="FFFFFF"/>
            <w:noWrap w:val="0"/>
            <w:vAlign w:val="center"/>
          </w:tcPr>
          <w:p w14:paraId="64AAE210">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rPr>
              <w:t>安检系统</w:t>
            </w:r>
          </w:p>
        </w:tc>
        <w:tc>
          <w:tcPr>
            <w:tcW w:w="1927" w:type="pct"/>
            <w:tcBorders>
              <w:top w:val="single" w:color="auto" w:sz="4" w:space="0"/>
              <w:left w:val="nil"/>
              <w:bottom w:val="single" w:color="auto" w:sz="4" w:space="0"/>
              <w:right w:val="single" w:color="auto" w:sz="4" w:space="0"/>
            </w:tcBorders>
            <w:shd w:val="clear" w:color="000000" w:fill="FFFFFF"/>
            <w:noWrap w:val="0"/>
            <w:vAlign w:val="center"/>
          </w:tcPr>
          <w:p w14:paraId="1FC66E62">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安检机基于射线穿透检查，可发现物体内部的金属结构，能显示肉眼看不到</w:t>
            </w:r>
            <w:r>
              <w:rPr>
                <w:rFonts w:hint="eastAsia" w:ascii="仿宋" w:hAnsi="仿宋" w:eastAsia="仿宋" w:cs="仿宋"/>
                <w:b w:val="0"/>
                <w:bCs w:val="0"/>
                <w:color w:val="auto"/>
                <w:kern w:val="0"/>
                <w:sz w:val="28"/>
                <w:szCs w:val="28"/>
                <w:highlight w:val="none"/>
                <w:lang w:val="en-US" w:eastAsia="zh-CN"/>
              </w:rPr>
              <w:t>的</w:t>
            </w:r>
            <w:r>
              <w:rPr>
                <w:rFonts w:hint="eastAsia" w:ascii="仿宋" w:hAnsi="仿宋" w:eastAsia="仿宋" w:cs="仿宋"/>
                <w:b w:val="0"/>
                <w:bCs w:val="0"/>
                <w:color w:val="auto"/>
                <w:kern w:val="0"/>
                <w:sz w:val="28"/>
                <w:szCs w:val="28"/>
                <w:highlight w:val="none"/>
              </w:rPr>
              <w:t>地方。为防止外来人员携带危险物品进入湾区展示中心。</w:t>
            </w:r>
          </w:p>
        </w:tc>
        <w:tc>
          <w:tcPr>
            <w:tcW w:w="1277" w:type="pct"/>
            <w:tcBorders>
              <w:top w:val="single" w:color="auto" w:sz="4" w:space="0"/>
              <w:left w:val="nil"/>
              <w:bottom w:val="single" w:color="auto" w:sz="4" w:space="0"/>
              <w:right w:val="single" w:color="auto" w:sz="4" w:space="0"/>
            </w:tcBorders>
            <w:shd w:val="clear" w:color="000000" w:fill="FFFFFF"/>
            <w:noWrap w:val="0"/>
            <w:vAlign w:val="center"/>
          </w:tcPr>
          <w:p w14:paraId="6158FCF6">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rPr>
              <w:t>安检机及安检门</w:t>
            </w:r>
            <w:r>
              <w:rPr>
                <w:rFonts w:hint="eastAsia" w:ascii="仿宋" w:hAnsi="仿宋" w:eastAsia="仿宋" w:cs="仿宋"/>
                <w:b w:val="0"/>
                <w:bCs w:val="0"/>
                <w:color w:val="auto"/>
                <w:kern w:val="0"/>
                <w:sz w:val="28"/>
                <w:szCs w:val="28"/>
                <w:highlight w:val="none"/>
                <w:lang w:val="en-US" w:eastAsia="zh-CN"/>
              </w:rPr>
              <w:t>等。</w:t>
            </w:r>
          </w:p>
        </w:tc>
      </w:tr>
      <w:tr w14:paraId="3402A761">
        <w:tblPrEx>
          <w:tblCellMar>
            <w:top w:w="0" w:type="dxa"/>
            <w:left w:w="108" w:type="dxa"/>
            <w:bottom w:w="0" w:type="dxa"/>
            <w:right w:w="108" w:type="dxa"/>
          </w:tblCellMar>
        </w:tblPrEx>
        <w:trPr>
          <w:trHeight w:val="3565" w:hRule="atLeast"/>
          <w:jc w:val="center"/>
        </w:trPr>
        <w:tc>
          <w:tcPr>
            <w:tcW w:w="308" w:type="pct"/>
            <w:tcBorders>
              <w:top w:val="nil"/>
              <w:left w:val="single" w:color="auto" w:sz="4" w:space="0"/>
              <w:bottom w:val="single" w:color="auto" w:sz="4" w:space="0"/>
              <w:right w:val="single" w:color="auto" w:sz="4" w:space="0"/>
            </w:tcBorders>
            <w:shd w:val="clear" w:color="000000" w:fill="FFFFFF"/>
            <w:noWrap w:val="0"/>
            <w:vAlign w:val="center"/>
          </w:tcPr>
          <w:p w14:paraId="52DCEC9F">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29</w:t>
            </w:r>
          </w:p>
        </w:tc>
        <w:tc>
          <w:tcPr>
            <w:tcW w:w="751" w:type="pct"/>
            <w:tcBorders>
              <w:top w:val="nil"/>
              <w:left w:val="single" w:color="auto" w:sz="4" w:space="0"/>
              <w:bottom w:val="single" w:color="auto" w:sz="4" w:space="0"/>
              <w:right w:val="single" w:color="auto" w:sz="4" w:space="0"/>
            </w:tcBorders>
            <w:shd w:val="clear" w:color="000000" w:fill="FFFFFF"/>
            <w:noWrap w:val="0"/>
            <w:vAlign w:val="center"/>
          </w:tcPr>
          <w:p w14:paraId="21909893">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其他</w:t>
            </w:r>
          </w:p>
        </w:tc>
        <w:tc>
          <w:tcPr>
            <w:tcW w:w="735" w:type="pct"/>
            <w:tcBorders>
              <w:top w:val="nil"/>
              <w:left w:val="nil"/>
              <w:bottom w:val="single" w:color="auto" w:sz="4" w:space="0"/>
              <w:right w:val="single" w:color="auto" w:sz="4" w:space="0"/>
            </w:tcBorders>
            <w:shd w:val="clear" w:color="000000" w:fill="FFFFFF"/>
            <w:noWrap w:val="0"/>
            <w:vAlign w:val="center"/>
          </w:tcPr>
          <w:p w14:paraId="600DC7FB">
            <w:pPr>
              <w:keepNext w:val="0"/>
              <w:keepLines w:val="0"/>
              <w:pageBreakBefore w:val="0"/>
              <w:widowControl/>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0"/>
                <w:sz w:val="28"/>
                <w:szCs w:val="28"/>
                <w:highlight w:val="none"/>
              </w:rPr>
            </w:pPr>
          </w:p>
        </w:tc>
        <w:tc>
          <w:tcPr>
            <w:tcW w:w="1927" w:type="pct"/>
            <w:tcBorders>
              <w:top w:val="nil"/>
              <w:left w:val="nil"/>
              <w:bottom w:val="single" w:color="auto" w:sz="4" w:space="0"/>
              <w:right w:val="single" w:color="auto" w:sz="4" w:space="0"/>
            </w:tcBorders>
            <w:shd w:val="clear" w:color="000000" w:fill="FFFFFF"/>
            <w:noWrap w:val="0"/>
            <w:vAlign w:val="center"/>
          </w:tcPr>
          <w:p w14:paraId="32105EB0">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可移动一体机，智能会议平板集高清电视、数字化白板和音视频会议设备功能于一身，满足会议演示、书写和协同的需求，电脑、手机、平板可轻松将画面无线投屏为企业打造一个智能科技的会议环境。</w:t>
            </w:r>
          </w:p>
        </w:tc>
        <w:tc>
          <w:tcPr>
            <w:tcW w:w="1277" w:type="pct"/>
            <w:tcBorders>
              <w:top w:val="nil"/>
              <w:left w:val="nil"/>
              <w:bottom w:val="single" w:color="auto" w:sz="4" w:space="0"/>
              <w:right w:val="single" w:color="auto" w:sz="4" w:space="0"/>
            </w:tcBorders>
            <w:shd w:val="clear" w:color="000000" w:fill="FFFFFF"/>
            <w:noWrap w:val="0"/>
            <w:vAlign w:val="center"/>
          </w:tcPr>
          <w:p w14:paraId="1AF1903F">
            <w:pPr>
              <w:keepNext w:val="0"/>
              <w:keepLines w:val="0"/>
              <w:pageBreakBefore w:val="0"/>
              <w:widowControl/>
              <w:kinsoku/>
              <w:wordWrap/>
              <w:overflowPunct/>
              <w:topLinePunct w:val="0"/>
              <w:autoSpaceDE/>
              <w:autoSpaceDN/>
              <w:bidi w:val="0"/>
              <w:adjustRightInd/>
              <w:snapToGrid/>
              <w:spacing w:after="0" w:afterLines="0" w:line="400" w:lineRule="exact"/>
              <w:jc w:val="both"/>
              <w:textAlignment w:val="auto"/>
              <w:rPr>
                <w:rFonts w:hint="eastAsia" w:ascii="仿宋" w:hAnsi="仿宋" w:eastAsia="仿宋" w:cs="仿宋"/>
                <w:b w:val="0"/>
                <w:bCs w:val="0"/>
                <w:color w:val="auto"/>
                <w:kern w:val="0"/>
                <w:sz w:val="28"/>
                <w:szCs w:val="28"/>
                <w:highlight w:val="none"/>
                <w:lang w:eastAsia="zh-CN"/>
              </w:rPr>
            </w:pPr>
            <w:r>
              <w:rPr>
                <w:rFonts w:hint="eastAsia" w:ascii="仿宋" w:hAnsi="仿宋" w:eastAsia="仿宋" w:cs="仿宋"/>
                <w:b w:val="0"/>
                <w:bCs w:val="0"/>
                <w:color w:val="auto"/>
                <w:kern w:val="0"/>
                <w:sz w:val="28"/>
                <w:szCs w:val="28"/>
                <w:highlight w:val="none"/>
              </w:rPr>
              <w:t>OPS及屏幕一体机、面光灯等</w:t>
            </w:r>
            <w:r>
              <w:rPr>
                <w:rFonts w:hint="eastAsia" w:ascii="仿宋" w:hAnsi="仿宋" w:eastAsia="仿宋" w:cs="仿宋"/>
                <w:b w:val="0"/>
                <w:bCs w:val="0"/>
                <w:color w:val="auto"/>
                <w:kern w:val="0"/>
                <w:sz w:val="28"/>
                <w:szCs w:val="28"/>
                <w:highlight w:val="none"/>
                <w:lang w:eastAsia="zh-CN"/>
              </w:rPr>
              <w:t>。</w:t>
            </w:r>
          </w:p>
        </w:tc>
      </w:tr>
    </w:tbl>
    <w:p w14:paraId="2A51AA99">
      <w:pPr>
        <w:pStyle w:val="9"/>
        <w:keepNext w:val="0"/>
        <w:keepLines w:val="0"/>
        <w:pageBreakBefore w:val="0"/>
        <w:numPr>
          <w:ilvl w:val="0"/>
          <w:numId w:val="0"/>
        </w:numPr>
        <w:kinsoku/>
        <w:wordWrap/>
        <w:overflowPunct/>
        <w:topLinePunct w:val="0"/>
        <w:autoSpaceDE/>
        <w:autoSpaceDN/>
        <w:bidi w:val="0"/>
        <w:spacing w:before="0" w:beforeAutospacing="0" w:after="0" w:afterLines="0" w:afterAutospacing="0" w:line="560" w:lineRule="exact"/>
        <w:ind w:left="0" w:lef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2.空调设备维护清单</w:t>
      </w:r>
    </w:p>
    <w:tbl>
      <w:tblPr>
        <w:tblStyle w:val="10"/>
        <w:tblW w:w="9578" w:type="dxa"/>
        <w:jc w:val="center"/>
        <w:tblLayout w:type="autofit"/>
        <w:tblCellMar>
          <w:top w:w="0" w:type="dxa"/>
          <w:left w:w="108" w:type="dxa"/>
          <w:bottom w:w="0" w:type="dxa"/>
          <w:right w:w="108" w:type="dxa"/>
        </w:tblCellMar>
      </w:tblPr>
      <w:tblGrid>
        <w:gridCol w:w="1566"/>
        <w:gridCol w:w="2800"/>
        <w:gridCol w:w="2306"/>
        <w:gridCol w:w="1080"/>
        <w:gridCol w:w="1826"/>
      </w:tblGrid>
      <w:tr w14:paraId="6ACEA33F">
        <w:tblPrEx>
          <w:tblCellMar>
            <w:top w:w="0" w:type="dxa"/>
            <w:left w:w="108" w:type="dxa"/>
            <w:bottom w:w="0" w:type="dxa"/>
            <w:right w:w="108" w:type="dxa"/>
          </w:tblCellMar>
        </w:tblPrEx>
        <w:trPr>
          <w:trHeight w:val="794" w:hRule="exact"/>
          <w:jc w:val="center"/>
        </w:trPr>
        <w:tc>
          <w:tcPr>
            <w:tcW w:w="1566" w:type="dxa"/>
            <w:tcBorders>
              <w:top w:val="single" w:color="000000" w:sz="4" w:space="0"/>
              <w:left w:val="single" w:color="000000" w:sz="4" w:space="0"/>
              <w:bottom w:val="single" w:color="000000" w:sz="4" w:space="0"/>
              <w:right w:val="single" w:color="000000" w:sz="4" w:space="0"/>
            </w:tcBorders>
            <w:noWrap w:val="0"/>
            <w:vAlign w:val="center"/>
          </w:tcPr>
          <w:p w14:paraId="2995CF84">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设备</w:t>
            </w:r>
          </w:p>
        </w:tc>
        <w:tc>
          <w:tcPr>
            <w:tcW w:w="2800" w:type="dxa"/>
            <w:tcBorders>
              <w:top w:val="single" w:color="000000" w:sz="4" w:space="0"/>
              <w:left w:val="single" w:color="000000" w:sz="4" w:space="0"/>
              <w:bottom w:val="single" w:color="000000" w:sz="4" w:space="0"/>
              <w:right w:val="single" w:color="000000" w:sz="4" w:space="0"/>
            </w:tcBorders>
            <w:noWrap w:val="0"/>
            <w:vAlign w:val="center"/>
          </w:tcPr>
          <w:p w14:paraId="07542C3B">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规格</w:t>
            </w:r>
          </w:p>
        </w:tc>
        <w:tc>
          <w:tcPr>
            <w:tcW w:w="2306" w:type="dxa"/>
            <w:tcBorders>
              <w:top w:val="single" w:color="000000" w:sz="4" w:space="0"/>
              <w:left w:val="single" w:color="000000" w:sz="4" w:space="0"/>
              <w:bottom w:val="single" w:color="000000" w:sz="4" w:space="0"/>
              <w:right w:val="single" w:color="000000" w:sz="4" w:space="0"/>
            </w:tcBorders>
            <w:noWrap w:val="0"/>
            <w:vAlign w:val="center"/>
          </w:tcPr>
          <w:p w14:paraId="3EA9CCE1">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型号</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AF69AEA">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单位</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0F9E48C3">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数量</w:t>
            </w:r>
          </w:p>
        </w:tc>
      </w:tr>
      <w:tr w14:paraId="2701EA0F">
        <w:tblPrEx>
          <w:tblCellMar>
            <w:top w:w="0" w:type="dxa"/>
            <w:left w:w="108" w:type="dxa"/>
            <w:bottom w:w="0" w:type="dxa"/>
            <w:right w:w="108" w:type="dxa"/>
          </w:tblCellMar>
        </w:tblPrEx>
        <w:trPr>
          <w:trHeight w:val="794" w:hRule="exact"/>
          <w:jc w:val="center"/>
        </w:trPr>
        <w:tc>
          <w:tcPr>
            <w:tcW w:w="1566" w:type="dxa"/>
            <w:vMerge w:val="restart"/>
            <w:tcBorders>
              <w:top w:val="single" w:color="000000" w:sz="4" w:space="0"/>
              <w:left w:val="single" w:color="000000" w:sz="4" w:space="0"/>
              <w:bottom w:val="single" w:color="000000" w:sz="4" w:space="0"/>
              <w:right w:val="single" w:color="000000" w:sz="4" w:space="0"/>
            </w:tcBorders>
            <w:noWrap w:val="0"/>
            <w:vAlign w:val="center"/>
          </w:tcPr>
          <w:p w14:paraId="78B42196">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中央空调</w:t>
            </w:r>
          </w:p>
        </w:tc>
        <w:tc>
          <w:tcPr>
            <w:tcW w:w="2800" w:type="dxa"/>
            <w:tcBorders>
              <w:top w:val="single" w:color="000000" w:sz="4" w:space="0"/>
              <w:left w:val="single" w:color="000000" w:sz="4" w:space="0"/>
              <w:bottom w:val="single" w:color="000000" w:sz="4" w:space="0"/>
              <w:right w:val="single" w:color="000000" w:sz="4" w:space="0"/>
            </w:tcBorders>
            <w:noWrap w:val="0"/>
            <w:vAlign w:val="center"/>
          </w:tcPr>
          <w:p w14:paraId="454B6047">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风冷模块机组</w:t>
            </w:r>
          </w:p>
        </w:tc>
        <w:tc>
          <w:tcPr>
            <w:tcW w:w="2306" w:type="dxa"/>
            <w:tcBorders>
              <w:top w:val="single" w:color="000000" w:sz="4" w:space="0"/>
              <w:left w:val="single" w:color="000000" w:sz="4" w:space="0"/>
              <w:bottom w:val="single" w:color="000000" w:sz="4" w:space="0"/>
              <w:right w:val="single" w:color="000000" w:sz="4" w:space="0"/>
            </w:tcBorders>
            <w:noWrap w:val="0"/>
            <w:vAlign w:val="center"/>
          </w:tcPr>
          <w:p w14:paraId="39824E8B">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LSRFM130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E1A5261">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台</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21007A73">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10</w:t>
            </w:r>
          </w:p>
        </w:tc>
      </w:tr>
      <w:tr w14:paraId="161DA912">
        <w:tblPrEx>
          <w:tblCellMar>
            <w:top w:w="0" w:type="dxa"/>
            <w:left w:w="108" w:type="dxa"/>
            <w:bottom w:w="0" w:type="dxa"/>
            <w:right w:w="108" w:type="dxa"/>
          </w:tblCellMar>
        </w:tblPrEx>
        <w:trPr>
          <w:trHeight w:val="794" w:hRule="exact"/>
          <w:jc w:val="center"/>
        </w:trPr>
        <w:tc>
          <w:tcPr>
            <w:tcW w:w="15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16778E">
            <w:pPr>
              <w:widowControl/>
              <w:spacing w:after="0" w:afterLines="0" w:line="320" w:lineRule="exact"/>
              <w:jc w:val="center"/>
              <w:rPr>
                <w:rFonts w:hint="eastAsia" w:ascii="仿宋" w:hAnsi="仿宋" w:eastAsia="仿宋" w:cs="仿宋"/>
                <w:b w:val="0"/>
                <w:bCs w:val="0"/>
                <w:color w:val="auto"/>
                <w:kern w:val="0"/>
                <w:sz w:val="28"/>
                <w:szCs w:val="28"/>
                <w:highlight w:val="none"/>
              </w:rPr>
            </w:pPr>
          </w:p>
        </w:tc>
        <w:tc>
          <w:tcPr>
            <w:tcW w:w="2800" w:type="dxa"/>
            <w:tcBorders>
              <w:top w:val="single" w:color="000000" w:sz="4" w:space="0"/>
              <w:left w:val="single" w:color="000000" w:sz="4" w:space="0"/>
              <w:bottom w:val="single" w:color="000000" w:sz="4" w:space="0"/>
              <w:right w:val="single" w:color="000000" w:sz="4" w:space="0"/>
            </w:tcBorders>
            <w:noWrap w:val="0"/>
            <w:vAlign w:val="center"/>
          </w:tcPr>
          <w:p w14:paraId="7A70D118">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吊顶式新风柜</w:t>
            </w:r>
          </w:p>
        </w:tc>
        <w:tc>
          <w:tcPr>
            <w:tcW w:w="2306" w:type="dxa"/>
            <w:tcBorders>
              <w:top w:val="single" w:color="000000" w:sz="4" w:space="0"/>
              <w:left w:val="single" w:color="000000" w:sz="4" w:space="0"/>
              <w:bottom w:val="single" w:color="000000" w:sz="4" w:space="0"/>
              <w:right w:val="single" w:color="000000" w:sz="4" w:space="0"/>
            </w:tcBorders>
            <w:noWrap w:val="0"/>
            <w:vAlign w:val="center"/>
          </w:tcPr>
          <w:p w14:paraId="4127C8D3">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GKD60-6H</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80B70D6">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台</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30457A3E">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6</w:t>
            </w:r>
          </w:p>
        </w:tc>
      </w:tr>
      <w:tr w14:paraId="5A9551A2">
        <w:tblPrEx>
          <w:tblCellMar>
            <w:top w:w="0" w:type="dxa"/>
            <w:left w:w="108" w:type="dxa"/>
            <w:bottom w:w="0" w:type="dxa"/>
            <w:right w:w="108" w:type="dxa"/>
          </w:tblCellMar>
        </w:tblPrEx>
        <w:trPr>
          <w:trHeight w:val="794" w:hRule="exact"/>
          <w:jc w:val="center"/>
        </w:trPr>
        <w:tc>
          <w:tcPr>
            <w:tcW w:w="15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1130F7">
            <w:pPr>
              <w:widowControl/>
              <w:spacing w:after="0" w:afterLines="0" w:line="320" w:lineRule="exact"/>
              <w:jc w:val="center"/>
              <w:rPr>
                <w:rFonts w:hint="eastAsia" w:ascii="仿宋" w:hAnsi="仿宋" w:eastAsia="仿宋" w:cs="仿宋"/>
                <w:b w:val="0"/>
                <w:bCs w:val="0"/>
                <w:color w:val="auto"/>
                <w:kern w:val="0"/>
                <w:sz w:val="28"/>
                <w:szCs w:val="28"/>
                <w:highlight w:val="none"/>
              </w:rPr>
            </w:pPr>
          </w:p>
        </w:tc>
        <w:tc>
          <w:tcPr>
            <w:tcW w:w="2800" w:type="dxa"/>
            <w:tcBorders>
              <w:top w:val="single" w:color="000000" w:sz="4" w:space="0"/>
              <w:left w:val="single" w:color="000000" w:sz="4" w:space="0"/>
              <w:bottom w:val="single" w:color="000000" w:sz="4" w:space="0"/>
              <w:right w:val="single" w:color="000000" w:sz="4" w:space="0"/>
            </w:tcBorders>
            <w:noWrap w:val="0"/>
            <w:vAlign w:val="center"/>
          </w:tcPr>
          <w:p w14:paraId="0A9A2A3C">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吊顶式风柜</w:t>
            </w:r>
          </w:p>
        </w:tc>
        <w:tc>
          <w:tcPr>
            <w:tcW w:w="2306" w:type="dxa"/>
            <w:tcBorders>
              <w:top w:val="single" w:color="000000" w:sz="4" w:space="0"/>
              <w:left w:val="single" w:color="000000" w:sz="4" w:space="0"/>
              <w:bottom w:val="single" w:color="000000" w:sz="4" w:space="0"/>
              <w:right w:val="single" w:color="000000" w:sz="4" w:space="0"/>
            </w:tcBorders>
            <w:noWrap w:val="0"/>
            <w:vAlign w:val="center"/>
          </w:tcPr>
          <w:p w14:paraId="75E53187">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GKD40-6H(70)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EA72E03">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台</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2E99CB08">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36</w:t>
            </w:r>
          </w:p>
        </w:tc>
      </w:tr>
      <w:tr w14:paraId="39BA8810">
        <w:tblPrEx>
          <w:tblCellMar>
            <w:top w:w="0" w:type="dxa"/>
            <w:left w:w="108" w:type="dxa"/>
            <w:bottom w:w="0" w:type="dxa"/>
            <w:right w:w="108" w:type="dxa"/>
          </w:tblCellMar>
        </w:tblPrEx>
        <w:trPr>
          <w:trHeight w:val="794" w:hRule="exact"/>
          <w:jc w:val="center"/>
        </w:trPr>
        <w:tc>
          <w:tcPr>
            <w:tcW w:w="15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907F91">
            <w:pPr>
              <w:widowControl/>
              <w:spacing w:after="0" w:afterLines="0" w:line="320" w:lineRule="exact"/>
              <w:jc w:val="center"/>
              <w:rPr>
                <w:rFonts w:hint="eastAsia" w:ascii="仿宋" w:hAnsi="仿宋" w:eastAsia="仿宋" w:cs="仿宋"/>
                <w:b w:val="0"/>
                <w:bCs w:val="0"/>
                <w:color w:val="auto"/>
                <w:kern w:val="0"/>
                <w:sz w:val="28"/>
                <w:szCs w:val="28"/>
                <w:highlight w:val="none"/>
              </w:rPr>
            </w:pPr>
          </w:p>
        </w:tc>
        <w:tc>
          <w:tcPr>
            <w:tcW w:w="2800" w:type="dxa"/>
            <w:tcBorders>
              <w:top w:val="single" w:color="000000" w:sz="4" w:space="0"/>
              <w:left w:val="single" w:color="000000" w:sz="4" w:space="0"/>
              <w:bottom w:val="single" w:color="000000" w:sz="4" w:space="0"/>
              <w:right w:val="single" w:color="000000" w:sz="4" w:space="0"/>
            </w:tcBorders>
            <w:noWrap w:val="0"/>
            <w:vAlign w:val="center"/>
          </w:tcPr>
          <w:p w14:paraId="598EFCB4">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卧式</w:t>
            </w:r>
            <w:r>
              <w:rPr>
                <w:rFonts w:hint="eastAsia" w:ascii="仿宋" w:hAnsi="仿宋" w:eastAsia="仿宋" w:cs="仿宋"/>
                <w:b w:val="0"/>
                <w:bCs w:val="0"/>
                <w:color w:val="auto"/>
                <w:kern w:val="0"/>
                <w:sz w:val="28"/>
                <w:szCs w:val="28"/>
                <w:highlight w:val="none"/>
                <w:lang w:eastAsia="zh-CN"/>
              </w:rPr>
              <w:t>安装</w:t>
            </w:r>
            <w:r>
              <w:rPr>
                <w:rFonts w:hint="eastAsia" w:ascii="仿宋" w:hAnsi="仿宋" w:eastAsia="仿宋" w:cs="仿宋"/>
                <w:b w:val="0"/>
                <w:bCs w:val="0"/>
                <w:color w:val="auto"/>
                <w:kern w:val="0"/>
                <w:sz w:val="28"/>
                <w:szCs w:val="28"/>
                <w:highlight w:val="none"/>
              </w:rPr>
              <w:t>风机盘管</w:t>
            </w:r>
          </w:p>
        </w:tc>
        <w:tc>
          <w:tcPr>
            <w:tcW w:w="2306" w:type="dxa"/>
            <w:tcBorders>
              <w:top w:val="single" w:color="000000" w:sz="4" w:space="0"/>
              <w:left w:val="single" w:color="000000" w:sz="4" w:space="0"/>
              <w:bottom w:val="single" w:color="000000" w:sz="4" w:space="0"/>
              <w:right w:val="single" w:color="000000" w:sz="4" w:space="0"/>
            </w:tcBorders>
            <w:noWrap w:val="0"/>
            <w:vAlign w:val="center"/>
          </w:tcPr>
          <w:p w14:paraId="6D8DA2BC">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FP-68WA-Y</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636FD10B">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台</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1560F30E">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14</w:t>
            </w:r>
          </w:p>
        </w:tc>
      </w:tr>
      <w:tr w14:paraId="66E8DB71">
        <w:tblPrEx>
          <w:tblCellMar>
            <w:top w:w="0" w:type="dxa"/>
            <w:left w:w="108" w:type="dxa"/>
            <w:bottom w:w="0" w:type="dxa"/>
            <w:right w:w="108" w:type="dxa"/>
          </w:tblCellMar>
        </w:tblPrEx>
        <w:trPr>
          <w:trHeight w:val="794" w:hRule="exact"/>
          <w:jc w:val="center"/>
        </w:trPr>
        <w:tc>
          <w:tcPr>
            <w:tcW w:w="15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B494DC">
            <w:pPr>
              <w:widowControl/>
              <w:spacing w:after="0" w:afterLines="0" w:line="320" w:lineRule="exact"/>
              <w:jc w:val="center"/>
              <w:rPr>
                <w:rFonts w:hint="eastAsia" w:ascii="仿宋" w:hAnsi="仿宋" w:eastAsia="仿宋" w:cs="仿宋"/>
                <w:b w:val="0"/>
                <w:bCs w:val="0"/>
                <w:color w:val="auto"/>
                <w:kern w:val="0"/>
                <w:sz w:val="28"/>
                <w:szCs w:val="28"/>
                <w:highlight w:val="none"/>
              </w:rPr>
            </w:pPr>
          </w:p>
        </w:tc>
        <w:tc>
          <w:tcPr>
            <w:tcW w:w="2800" w:type="dxa"/>
            <w:tcBorders>
              <w:top w:val="single" w:color="000000" w:sz="4" w:space="0"/>
              <w:left w:val="single" w:color="000000" w:sz="4" w:space="0"/>
              <w:bottom w:val="single" w:color="000000" w:sz="4" w:space="0"/>
              <w:right w:val="single" w:color="000000" w:sz="4" w:space="0"/>
            </w:tcBorders>
            <w:noWrap w:val="0"/>
            <w:vAlign w:val="center"/>
          </w:tcPr>
          <w:p w14:paraId="3C4A9964">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卧式</w:t>
            </w:r>
            <w:r>
              <w:rPr>
                <w:rFonts w:hint="eastAsia" w:ascii="仿宋" w:hAnsi="仿宋" w:eastAsia="仿宋" w:cs="仿宋"/>
                <w:b w:val="0"/>
                <w:bCs w:val="0"/>
                <w:color w:val="auto"/>
                <w:kern w:val="0"/>
                <w:sz w:val="28"/>
                <w:szCs w:val="28"/>
                <w:highlight w:val="none"/>
                <w:lang w:eastAsia="zh-CN"/>
              </w:rPr>
              <w:t>安装</w:t>
            </w:r>
            <w:r>
              <w:rPr>
                <w:rFonts w:hint="eastAsia" w:ascii="仿宋" w:hAnsi="仿宋" w:eastAsia="仿宋" w:cs="仿宋"/>
                <w:b w:val="0"/>
                <w:bCs w:val="0"/>
                <w:color w:val="auto"/>
                <w:kern w:val="0"/>
                <w:sz w:val="28"/>
                <w:szCs w:val="28"/>
                <w:highlight w:val="none"/>
              </w:rPr>
              <w:t>风机盘管</w:t>
            </w:r>
          </w:p>
        </w:tc>
        <w:tc>
          <w:tcPr>
            <w:tcW w:w="2306" w:type="dxa"/>
            <w:tcBorders>
              <w:top w:val="single" w:color="000000" w:sz="4" w:space="0"/>
              <w:left w:val="single" w:color="000000" w:sz="4" w:space="0"/>
              <w:bottom w:val="single" w:color="000000" w:sz="4" w:space="0"/>
              <w:right w:val="single" w:color="000000" w:sz="4" w:space="0"/>
            </w:tcBorders>
            <w:noWrap w:val="0"/>
            <w:vAlign w:val="center"/>
          </w:tcPr>
          <w:p w14:paraId="3D96E85A">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FP-102WA-Y</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111C42A">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台</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47D2758E">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3</w:t>
            </w:r>
          </w:p>
        </w:tc>
      </w:tr>
      <w:tr w14:paraId="47A6E9A2">
        <w:tblPrEx>
          <w:tblCellMar>
            <w:top w:w="0" w:type="dxa"/>
            <w:left w:w="108" w:type="dxa"/>
            <w:bottom w:w="0" w:type="dxa"/>
            <w:right w:w="108" w:type="dxa"/>
          </w:tblCellMar>
        </w:tblPrEx>
        <w:trPr>
          <w:trHeight w:val="794" w:hRule="exact"/>
          <w:jc w:val="center"/>
        </w:trPr>
        <w:tc>
          <w:tcPr>
            <w:tcW w:w="15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D2CC1D">
            <w:pPr>
              <w:widowControl/>
              <w:spacing w:after="0" w:afterLines="0" w:line="320" w:lineRule="exact"/>
              <w:jc w:val="center"/>
              <w:rPr>
                <w:rFonts w:hint="eastAsia" w:ascii="仿宋" w:hAnsi="仿宋" w:eastAsia="仿宋" w:cs="仿宋"/>
                <w:b w:val="0"/>
                <w:bCs w:val="0"/>
                <w:color w:val="auto"/>
                <w:kern w:val="0"/>
                <w:sz w:val="28"/>
                <w:szCs w:val="28"/>
                <w:highlight w:val="none"/>
              </w:rPr>
            </w:pPr>
          </w:p>
        </w:tc>
        <w:tc>
          <w:tcPr>
            <w:tcW w:w="2800" w:type="dxa"/>
            <w:tcBorders>
              <w:top w:val="single" w:color="000000" w:sz="4" w:space="0"/>
              <w:left w:val="single" w:color="000000" w:sz="4" w:space="0"/>
              <w:bottom w:val="single" w:color="000000" w:sz="4" w:space="0"/>
              <w:right w:val="single" w:color="000000" w:sz="4" w:space="0"/>
            </w:tcBorders>
            <w:noWrap w:val="0"/>
            <w:vAlign w:val="center"/>
          </w:tcPr>
          <w:p w14:paraId="15A7B48E">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卧式</w:t>
            </w:r>
            <w:r>
              <w:rPr>
                <w:rFonts w:hint="eastAsia" w:ascii="仿宋" w:hAnsi="仿宋" w:eastAsia="仿宋" w:cs="仿宋"/>
                <w:b w:val="0"/>
                <w:bCs w:val="0"/>
                <w:color w:val="auto"/>
                <w:kern w:val="0"/>
                <w:sz w:val="28"/>
                <w:szCs w:val="28"/>
                <w:highlight w:val="none"/>
                <w:lang w:eastAsia="zh-CN"/>
              </w:rPr>
              <w:t>安装</w:t>
            </w:r>
            <w:r>
              <w:rPr>
                <w:rFonts w:hint="eastAsia" w:ascii="仿宋" w:hAnsi="仿宋" w:eastAsia="仿宋" w:cs="仿宋"/>
                <w:b w:val="0"/>
                <w:bCs w:val="0"/>
                <w:color w:val="auto"/>
                <w:kern w:val="0"/>
                <w:sz w:val="28"/>
                <w:szCs w:val="28"/>
                <w:highlight w:val="none"/>
              </w:rPr>
              <w:t>风机盘管</w:t>
            </w:r>
          </w:p>
        </w:tc>
        <w:tc>
          <w:tcPr>
            <w:tcW w:w="2306" w:type="dxa"/>
            <w:tcBorders>
              <w:top w:val="single" w:color="000000" w:sz="4" w:space="0"/>
              <w:left w:val="single" w:color="000000" w:sz="4" w:space="0"/>
              <w:bottom w:val="single" w:color="000000" w:sz="4" w:space="0"/>
              <w:right w:val="single" w:color="000000" w:sz="4" w:space="0"/>
            </w:tcBorders>
            <w:noWrap w:val="0"/>
            <w:vAlign w:val="center"/>
          </w:tcPr>
          <w:p w14:paraId="344291D5">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FP-136WA-Y</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1B5CFE7">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台</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50AEF609">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70</w:t>
            </w:r>
          </w:p>
        </w:tc>
      </w:tr>
      <w:tr w14:paraId="2568837E">
        <w:tblPrEx>
          <w:tblCellMar>
            <w:top w:w="0" w:type="dxa"/>
            <w:left w:w="108" w:type="dxa"/>
            <w:bottom w:w="0" w:type="dxa"/>
            <w:right w:w="108" w:type="dxa"/>
          </w:tblCellMar>
        </w:tblPrEx>
        <w:trPr>
          <w:trHeight w:val="794" w:hRule="exact"/>
          <w:jc w:val="center"/>
        </w:trPr>
        <w:tc>
          <w:tcPr>
            <w:tcW w:w="15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8F98B6">
            <w:pPr>
              <w:widowControl/>
              <w:spacing w:after="0" w:afterLines="0" w:line="320" w:lineRule="exact"/>
              <w:jc w:val="center"/>
              <w:rPr>
                <w:rFonts w:hint="eastAsia" w:ascii="仿宋" w:hAnsi="仿宋" w:eastAsia="仿宋" w:cs="仿宋"/>
                <w:b w:val="0"/>
                <w:bCs w:val="0"/>
                <w:color w:val="auto"/>
                <w:kern w:val="0"/>
                <w:sz w:val="28"/>
                <w:szCs w:val="28"/>
                <w:highlight w:val="none"/>
              </w:rPr>
            </w:pPr>
          </w:p>
        </w:tc>
        <w:tc>
          <w:tcPr>
            <w:tcW w:w="2800" w:type="dxa"/>
            <w:tcBorders>
              <w:top w:val="single" w:color="000000" w:sz="4" w:space="0"/>
              <w:left w:val="single" w:color="000000" w:sz="4" w:space="0"/>
              <w:bottom w:val="single" w:color="000000" w:sz="4" w:space="0"/>
              <w:right w:val="single" w:color="000000" w:sz="4" w:space="0"/>
            </w:tcBorders>
            <w:noWrap w:val="0"/>
            <w:vAlign w:val="center"/>
          </w:tcPr>
          <w:p w14:paraId="566637A3">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主机控制器</w:t>
            </w:r>
          </w:p>
        </w:tc>
        <w:tc>
          <w:tcPr>
            <w:tcW w:w="2306" w:type="dxa"/>
            <w:tcBorders>
              <w:top w:val="single" w:color="000000" w:sz="4" w:space="0"/>
              <w:left w:val="single" w:color="000000" w:sz="4" w:space="0"/>
              <w:bottom w:val="single" w:color="000000" w:sz="4" w:space="0"/>
              <w:right w:val="single" w:color="000000" w:sz="4" w:space="0"/>
            </w:tcBorders>
            <w:noWrap w:val="0"/>
            <w:vAlign w:val="center"/>
          </w:tcPr>
          <w:p w14:paraId="644B044D">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MKJFJ</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D2B6045">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个</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03E17A2B">
            <w:pPr>
              <w:widowControl/>
              <w:spacing w:after="0" w:afterLines="0" w:line="320" w:lineRule="exact"/>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rPr>
              <w:t>1</w:t>
            </w:r>
          </w:p>
        </w:tc>
      </w:tr>
    </w:tbl>
    <w:p w14:paraId="7776894D">
      <w:pPr>
        <w:pStyle w:val="9"/>
        <w:spacing w:before="0" w:beforeAutospacing="0" w:after="78" w:afterAutospacing="0" w:line="560" w:lineRule="exact"/>
        <w:ind w:firstLine="640" w:firstLineChars="200"/>
        <w:jc w:val="both"/>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注：具体项目及相关设备清单因涉及信息安全，请有意向</w:t>
      </w:r>
      <w:r>
        <w:rPr>
          <w:rFonts w:hint="eastAsia" w:ascii="仿宋" w:hAnsi="仿宋" w:eastAsia="仿宋" w:cs="仿宋"/>
          <w:color w:val="auto"/>
          <w:sz w:val="32"/>
          <w:szCs w:val="32"/>
          <w:highlight w:val="none"/>
          <w:lang w:val="en-US" w:eastAsia="zh-CN"/>
        </w:rPr>
        <w:t>服务商致电联系。</w:t>
      </w:r>
    </w:p>
    <w:sectPr>
      <w:footerReference r:id="rId3" w:type="default"/>
      <w:pgSz w:w="11906" w:h="16838"/>
      <w:pgMar w:top="1871" w:right="1304" w:bottom="187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26C8C">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4A9033">
                          <w:pPr>
                            <w:pStyle w:val="6"/>
                            <w:rPr>
                              <w:rFonts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ascii="仿宋" w:hAnsi="仿宋" w:eastAsia="仿宋" w:cs="仿宋"/>
                              <w:sz w:val="28"/>
                              <w:szCs w:val="28"/>
                            </w:rPr>
                            <w:t>- 2 -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44A9033">
                    <w:pPr>
                      <w:pStyle w:val="6"/>
                      <w:rPr>
                        <w:rFonts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ascii="仿宋" w:hAnsi="仿宋" w:eastAsia="仿宋" w:cs="仿宋"/>
                        <w:sz w:val="28"/>
                        <w:szCs w:val="28"/>
                      </w:rPr>
                      <w:t>- 2 -</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jNDc0NDVjOGUyNjEwMDkzNTc4NTkxNjMzYzgyZmIifQ=="/>
  </w:docVars>
  <w:rsids>
    <w:rsidRoot w:val="00B21EDA"/>
    <w:rsid w:val="000022E5"/>
    <w:rsid w:val="000265BC"/>
    <w:rsid w:val="000437FA"/>
    <w:rsid w:val="00065536"/>
    <w:rsid w:val="00076D34"/>
    <w:rsid w:val="00097AE6"/>
    <w:rsid w:val="000B1FC9"/>
    <w:rsid w:val="000B246E"/>
    <w:rsid w:val="000B42D6"/>
    <w:rsid w:val="000B741B"/>
    <w:rsid w:val="000D7067"/>
    <w:rsid w:val="000F277D"/>
    <w:rsid w:val="00155C80"/>
    <w:rsid w:val="001636E9"/>
    <w:rsid w:val="00182291"/>
    <w:rsid w:val="00197861"/>
    <w:rsid w:val="001C19D7"/>
    <w:rsid w:val="00227AC5"/>
    <w:rsid w:val="00241687"/>
    <w:rsid w:val="00261E63"/>
    <w:rsid w:val="002C1AF5"/>
    <w:rsid w:val="002E0F81"/>
    <w:rsid w:val="00307828"/>
    <w:rsid w:val="003A4349"/>
    <w:rsid w:val="003D588F"/>
    <w:rsid w:val="003E158B"/>
    <w:rsid w:val="003E2476"/>
    <w:rsid w:val="003F016A"/>
    <w:rsid w:val="003F399E"/>
    <w:rsid w:val="00405D1F"/>
    <w:rsid w:val="00494EC1"/>
    <w:rsid w:val="004C2E12"/>
    <w:rsid w:val="004C4744"/>
    <w:rsid w:val="00500A41"/>
    <w:rsid w:val="00551476"/>
    <w:rsid w:val="006250C5"/>
    <w:rsid w:val="00636537"/>
    <w:rsid w:val="00655FE0"/>
    <w:rsid w:val="00656A35"/>
    <w:rsid w:val="006917F2"/>
    <w:rsid w:val="0069450E"/>
    <w:rsid w:val="006B14B6"/>
    <w:rsid w:val="006F406D"/>
    <w:rsid w:val="00704DA0"/>
    <w:rsid w:val="00723873"/>
    <w:rsid w:val="0076471C"/>
    <w:rsid w:val="007A4F65"/>
    <w:rsid w:val="007A7C37"/>
    <w:rsid w:val="007D574A"/>
    <w:rsid w:val="007D5A87"/>
    <w:rsid w:val="007D7494"/>
    <w:rsid w:val="007E7233"/>
    <w:rsid w:val="00836EC2"/>
    <w:rsid w:val="00842E3E"/>
    <w:rsid w:val="00873C34"/>
    <w:rsid w:val="008823D2"/>
    <w:rsid w:val="0089079B"/>
    <w:rsid w:val="00896CF9"/>
    <w:rsid w:val="008D7292"/>
    <w:rsid w:val="00904C48"/>
    <w:rsid w:val="009224F6"/>
    <w:rsid w:val="00984A6B"/>
    <w:rsid w:val="009F3D1D"/>
    <w:rsid w:val="00A0118D"/>
    <w:rsid w:val="00A05C04"/>
    <w:rsid w:val="00A33961"/>
    <w:rsid w:val="00A4530C"/>
    <w:rsid w:val="00A63820"/>
    <w:rsid w:val="00A96156"/>
    <w:rsid w:val="00B21EDA"/>
    <w:rsid w:val="00B42DD9"/>
    <w:rsid w:val="00B45214"/>
    <w:rsid w:val="00B772E3"/>
    <w:rsid w:val="00BC0BDB"/>
    <w:rsid w:val="00BE2B05"/>
    <w:rsid w:val="00BE436B"/>
    <w:rsid w:val="00C14AB9"/>
    <w:rsid w:val="00CA092C"/>
    <w:rsid w:val="00CC0646"/>
    <w:rsid w:val="00CF0AAA"/>
    <w:rsid w:val="00D01754"/>
    <w:rsid w:val="00D2377E"/>
    <w:rsid w:val="00D24D50"/>
    <w:rsid w:val="00D55984"/>
    <w:rsid w:val="00E14B16"/>
    <w:rsid w:val="00E30F80"/>
    <w:rsid w:val="00E36DE5"/>
    <w:rsid w:val="00E42883"/>
    <w:rsid w:val="00E46AD2"/>
    <w:rsid w:val="00E6284A"/>
    <w:rsid w:val="00E66410"/>
    <w:rsid w:val="00E94543"/>
    <w:rsid w:val="00F024A6"/>
    <w:rsid w:val="00F11CA9"/>
    <w:rsid w:val="00F20019"/>
    <w:rsid w:val="00F3018F"/>
    <w:rsid w:val="00F43A5A"/>
    <w:rsid w:val="00F76ED3"/>
    <w:rsid w:val="00F8577A"/>
    <w:rsid w:val="00F97B4F"/>
    <w:rsid w:val="00FA32BA"/>
    <w:rsid w:val="00FB2432"/>
    <w:rsid w:val="00FB73CB"/>
    <w:rsid w:val="00FC37C9"/>
    <w:rsid w:val="00FD069D"/>
    <w:rsid w:val="00FE5D04"/>
    <w:rsid w:val="01981D96"/>
    <w:rsid w:val="02787973"/>
    <w:rsid w:val="02D829A4"/>
    <w:rsid w:val="02F62AAB"/>
    <w:rsid w:val="03470653"/>
    <w:rsid w:val="035937A7"/>
    <w:rsid w:val="041C0771"/>
    <w:rsid w:val="04550F19"/>
    <w:rsid w:val="045B52FD"/>
    <w:rsid w:val="047D2C92"/>
    <w:rsid w:val="04B678CE"/>
    <w:rsid w:val="04BC223F"/>
    <w:rsid w:val="04C53636"/>
    <w:rsid w:val="04E5357E"/>
    <w:rsid w:val="04F74102"/>
    <w:rsid w:val="052E5261"/>
    <w:rsid w:val="05726DA2"/>
    <w:rsid w:val="05926C4E"/>
    <w:rsid w:val="05D05EF9"/>
    <w:rsid w:val="06011C57"/>
    <w:rsid w:val="067803E8"/>
    <w:rsid w:val="069A0522"/>
    <w:rsid w:val="06B70F10"/>
    <w:rsid w:val="06C73F89"/>
    <w:rsid w:val="070B300A"/>
    <w:rsid w:val="070E2AFA"/>
    <w:rsid w:val="070E6657"/>
    <w:rsid w:val="075A4688"/>
    <w:rsid w:val="07A33243"/>
    <w:rsid w:val="07C83BE5"/>
    <w:rsid w:val="07CD3E5B"/>
    <w:rsid w:val="082641D3"/>
    <w:rsid w:val="088968DD"/>
    <w:rsid w:val="08947F82"/>
    <w:rsid w:val="092F172E"/>
    <w:rsid w:val="0A326B00"/>
    <w:rsid w:val="0A756EBC"/>
    <w:rsid w:val="0A860446"/>
    <w:rsid w:val="0B260413"/>
    <w:rsid w:val="0B2E33BE"/>
    <w:rsid w:val="0B5F4754"/>
    <w:rsid w:val="0B6E638C"/>
    <w:rsid w:val="0B7D7881"/>
    <w:rsid w:val="0BA53A2D"/>
    <w:rsid w:val="0BFE5CC4"/>
    <w:rsid w:val="0C00517C"/>
    <w:rsid w:val="0C622192"/>
    <w:rsid w:val="0D7C07BE"/>
    <w:rsid w:val="0E7476E7"/>
    <w:rsid w:val="0ECC12D1"/>
    <w:rsid w:val="0F24110D"/>
    <w:rsid w:val="0F40581B"/>
    <w:rsid w:val="0F423341"/>
    <w:rsid w:val="0F7658A1"/>
    <w:rsid w:val="0F7B6853"/>
    <w:rsid w:val="0FB029A1"/>
    <w:rsid w:val="1028026F"/>
    <w:rsid w:val="102962AF"/>
    <w:rsid w:val="10463305"/>
    <w:rsid w:val="104650B3"/>
    <w:rsid w:val="1102547E"/>
    <w:rsid w:val="11051FFA"/>
    <w:rsid w:val="11292A0B"/>
    <w:rsid w:val="116E5E25"/>
    <w:rsid w:val="11BE06D0"/>
    <w:rsid w:val="11CE35B2"/>
    <w:rsid w:val="12B24C82"/>
    <w:rsid w:val="12B74A7E"/>
    <w:rsid w:val="12E52E35"/>
    <w:rsid w:val="136C6BDF"/>
    <w:rsid w:val="13CE33F5"/>
    <w:rsid w:val="13F17F79"/>
    <w:rsid w:val="14213AC1"/>
    <w:rsid w:val="14774392"/>
    <w:rsid w:val="14830684"/>
    <w:rsid w:val="1585042C"/>
    <w:rsid w:val="162639BD"/>
    <w:rsid w:val="16D5721C"/>
    <w:rsid w:val="16F62487"/>
    <w:rsid w:val="172F6C01"/>
    <w:rsid w:val="176F33E7"/>
    <w:rsid w:val="17AF2B07"/>
    <w:rsid w:val="180D4B21"/>
    <w:rsid w:val="185439EB"/>
    <w:rsid w:val="1857669B"/>
    <w:rsid w:val="18E145F5"/>
    <w:rsid w:val="194128BC"/>
    <w:rsid w:val="19677412"/>
    <w:rsid w:val="19781BC5"/>
    <w:rsid w:val="19A03A86"/>
    <w:rsid w:val="19C05ED6"/>
    <w:rsid w:val="1A0101DD"/>
    <w:rsid w:val="1A175ACC"/>
    <w:rsid w:val="1A726C19"/>
    <w:rsid w:val="1AB175CD"/>
    <w:rsid w:val="1B5A1A13"/>
    <w:rsid w:val="1B690B70"/>
    <w:rsid w:val="1BF634FA"/>
    <w:rsid w:val="1C6B65AE"/>
    <w:rsid w:val="1D0D341E"/>
    <w:rsid w:val="1D533029"/>
    <w:rsid w:val="1D9C669E"/>
    <w:rsid w:val="1DAD780A"/>
    <w:rsid w:val="1DD30B06"/>
    <w:rsid w:val="1DE75CFB"/>
    <w:rsid w:val="1E236A34"/>
    <w:rsid w:val="1E480248"/>
    <w:rsid w:val="1EFD3064"/>
    <w:rsid w:val="1F0028D1"/>
    <w:rsid w:val="1F38206B"/>
    <w:rsid w:val="1F97587F"/>
    <w:rsid w:val="1FDB5D0D"/>
    <w:rsid w:val="1FFFE1C1"/>
    <w:rsid w:val="20457135"/>
    <w:rsid w:val="210F368D"/>
    <w:rsid w:val="21224D81"/>
    <w:rsid w:val="21567D40"/>
    <w:rsid w:val="22B51E2F"/>
    <w:rsid w:val="22BC513A"/>
    <w:rsid w:val="22FA25EF"/>
    <w:rsid w:val="23565FFF"/>
    <w:rsid w:val="235E4892"/>
    <w:rsid w:val="23930F8A"/>
    <w:rsid w:val="23A31C0E"/>
    <w:rsid w:val="23FF13A9"/>
    <w:rsid w:val="241C1F5B"/>
    <w:rsid w:val="241D272A"/>
    <w:rsid w:val="241F37F9"/>
    <w:rsid w:val="249441E7"/>
    <w:rsid w:val="24966350"/>
    <w:rsid w:val="25766A29"/>
    <w:rsid w:val="25847A9B"/>
    <w:rsid w:val="25DD7FFB"/>
    <w:rsid w:val="25FA00A6"/>
    <w:rsid w:val="26452866"/>
    <w:rsid w:val="264D464E"/>
    <w:rsid w:val="26910C5D"/>
    <w:rsid w:val="26DB493C"/>
    <w:rsid w:val="27286E69"/>
    <w:rsid w:val="27391F35"/>
    <w:rsid w:val="27492919"/>
    <w:rsid w:val="27604855"/>
    <w:rsid w:val="276500BD"/>
    <w:rsid w:val="279D1611"/>
    <w:rsid w:val="28017DE6"/>
    <w:rsid w:val="28402B5E"/>
    <w:rsid w:val="28480BD5"/>
    <w:rsid w:val="284D5BC3"/>
    <w:rsid w:val="288602EB"/>
    <w:rsid w:val="28B12D73"/>
    <w:rsid w:val="28B37092"/>
    <w:rsid w:val="28C655E7"/>
    <w:rsid w:val="29D11A3A"/>
    <w:rsid w:val="2A374E65"/>
    <w:rsid w:val="2AC12920"/>
    <w:rsid w:val="2B45448D"/>
    <w:rsid w:val="2B62521D"/>
    <w:rsid w:val="2B6F4288"/>
    <w:rsid w:val="2BAA1DCD"/>
    <w:rsid w:val="2BC2163A"/>
    <w:rsid w:val="2BDF1AF7"/>
    <w:rsid w:val="2BE27F2E"/>
    <w:rsid w:val="2BFF288E"/>
    <w:rsid w:val="2C271DE5"/>
    <w:rsid w:val="2C614EE0"/>
    <w:rsid w:val="2C9C24CE"/>
    <w:rsid w:val="2CEE4744"/>
    <w:rsid w:val="2D654973"/>
    <w:rsid w:val="2E0B5F8F"/>
    <w:rsid w:val="2E332AA1"/>
    <w:rsid w:val="2E3536B4"/>
    <w:rsid w:val="2E434234"/>
    <w:rsid w:val="2E7B4232"/>
    <w:rsid w:val="2E930B5B"/>
    <w:rsid w:val="2FF93442"/>
    <w:rsid w:val="305A21E2"/>
    <w:rsid w:val="306453B6"/>
    <w:rsid w:val="30661B74"/>
    <w:rsid w:val="306929CC"/>
    <w:rsid w:val="30735E7E"/>
    <w:rsid w:val="30B17ECF"/>
    <w:rsid w:val="30BF3C9C"/>
    <w:rsid w:val="31C14142"/>
    <w:rsid w:val="31EC26D9"/>
    <w:rsid w:val="324803BF"/>
    <w:rsid w:val="327B0795"/>
    <w:rsid w:val="32C15EFF"/>
    <w:rsid w:val="32C353A0"/>
    <w:rsid w:val="335F1E64"/>
    <w:rsid w:val="338C4B2C"/>
    <w:rsid w:val="33EB3069"/>
    <w:rsid w:val="34B76AE1"/>
    <w:rsid w:val="34EB675E"/>
    <w:rsid w:val="350727B3"/>
    <w:rsid w:val="360311CD"/>
    <w:rsid w:val="36331C18"/>
    <w:rsid w:val="36625EF3"/>
    <w:rsid w:val="366FC1D0"/>
    <w:rsid w:val="36ED4C29"/>
    <w:rsid w:val="36F87C76"/>
    <w:rsid w:val="37236A22"/>
    <w:rsid w:val="372836D9"/>
    <w:rsid w:val="374B2E2B"/>
    <w:rsid w:val="37CD1A92"/>
    <w:rsid w:val="37FE0683"/>
    <w:rsid w:val="38955AC0"/>
    <w:rsid w:val="38CA4224"/>
    <w:rsid w:val="38D40BFF"/>
    <w:rsid w:val="39873EC3"/>
    <w:rsid w:val="39D65EBB"/>
    <w:rsid w:val="3A060E02"/>
    <w:rsid w:val="3A8F74D3"/>
    <w:rsid w:val="3AAF37E2"/>
    <w:rsid w:val="3AF26C45"/>
    <w:rsid w:val="3B67773C"/>
    <w:rsid w:val="3BA60FB2"/>
    <w:rsid w:val="3BAF2DFE"/>
    <w:rsid w:val="3BEBE4CD"/>
    <w:rsid w:val="3C027831"/>
    <w:rsid w:val="3C9A0678"/>
    <w:rsid w:val="3C9B2663"/>
    <w:rsid w:val="3CC828AA"/>
    <w:rsid w:val="3CCA2A44"/>
    <w:rsid w:val="3D9077EA"/>
    <w:rsid w:val="3DA702C6"/>
    <w:rsid w:val="3E2E484E"/>
    <w:rsid w:val="3E4F5F4D"/>
    <w:rsid w:val="3E9C3B2A"/>
    <w:rsid w:val="3EAA0523"/>
    <w:rsid w:val="3EC21EB9"/>
    <w:rsid w:val="3ED42521"/>
    <w:rsid w:val="3F3A69BC"/>
    <w:rsid w:val="3F516B05"/>
    <w:rsid w:val="3F9B6279"/>
    <w:rsid w:val="3FB82A01"/>
    <w:rsid w:val="3FF62D93"/>
    <w:rsid w:val="402E51CB"/>
    <w:rsid w:val="409A0980"/>
    <w:rsid w:val="40E65973"/>
    <w:rsid w:val="40F00DC2"/>
    <w:rsid w:val="40FE0F0E"/>
    <w:rsid w:val="41142F51"/>
    <w:rsid w:val="41711066"/>
    <w:rsid w:val="418036D2"/>
    <w:rsid w:val="41A65571"/>
    <w:rsid w:val="41C320EE"/>
    <w:rsid w:val="41D36635"/>
    <w:rsid w:val="42500A1C"/>
    <w:rsid w:val="426E40DA"/>
    <w:rsid w:val="42804B88"/>
    <w:rsid w:val="429338D8"/>
    <w:rsid w:val="431E31A2"/>
    <w:rsid w:val="43373CF9"/>
    <w:rsid w:val="43971DA2"/>
    <w:rsid w:val="43B81849"/>
    <w:rsid w:val="43D9192B"/>
    <w:rsid w:val="43E443EC"/>
    <w:rsid w:val="442373A7"/>
    <w:rsid w:val="446C5B48"/>
    <w:rsid w:val="44A377A9"/>
    <w:rsid w:val="44A771C7"/>
    <w:rsid w:val="4541586E"/>
    <w:rsid w:val="455434EC"/>
    <w:rsid w:val="45772895"/>
    <w:rsid w:val="45B11EE5"/>
    <w:rsid w:val="465A0995"/>
    <w:rsid w:val="46765126"/>
    <w:rsid w:val="471A6804"/>
    <w:rsid w:val="47245FC6"/>
    <w:rsid w:val="473F5DDD"/>
    <w:rsid w:val="477912EF"/>
    <w:rsid w:val="477C493B"/>
    <w:rsid w:val="47E271C3"/>
    <w:rsid w:val="4957740E"/>
    <w:rsid w:val="49A452DD"/>
    <w:rsid w:val="49B54134"/>
    <w:rsid w:val="4A1A5F48"/>
    <w:rsid w:val="4B103D18"/>
    <w:rsid w:val="4B310029"/>
    <w:rsid w:val="4B502367"/>
    <w:rsid w:val="4BBD5522"/>
    <w:rsid w:val="4BDF36EB"/>
    <w:rsid w:val="4BEF1B80"/>
    <w:rsid w:val="4C0118B3"/>
    <w:rsid w:val="4C71420D"/>
    <w:rsid w:val="4CC0757C"/>
    <w:rsid w:val="4CE10AA7"/>
    <w:rsid w:val="4CF623F3"/>
    <w:rsid w:val="4D5D4C0B"/>
    <w:rsid w:val="4D70101F"/>
    <w:rsid w:val="4D907392"/>
    <w:rsid w:val="4E133D67"/>
    <w:rsid w:val="4E8273DA"/>
    <w:rsid w:val="4EC70554"/>
    <w:rsid w:val="4F2C30EB"/>
    <w:rsid w:val="4F3F2E1E"/>
    <w:rsid w:val="4FE12EBF"/>
    <w:rsid w:val="501871CB"/>
    <w:rsid w:val="502320A0"/>
    <w:rsid w:val="50381EFE"/>
    <w:rsid w:val="504F0C4F"/>
    <w:rsid w:val="507A1C34"/>
    <w:rsid w:val="507B3F9D"/>
    <w:rsid w:val="5092043F"/>
    <w:rsid w:val="50AF5D81"/>
    <w:rsid w:val="50BC3FFA"/>
    <w:rsid w:val="51616A07"/>
    <w:rsid w:val="51840FBC"/>
    <w:rsid w:val="519A18D0"/>
    <w:rsid w:val="520E2F87"/>
    <w:rsid w:val="527E1EAF"/>
    <w:rsid w:val="52D363EF"/>
    <w:rsid w:val="52E837CD"/>
    <w:rsid w:val="52EF41F8"/>
    <w:rsid w:val="53A9336E"/>
    <w:rsid w:val="53B36B40"/>
    <w:rsid w:val="53DB9250"/>
    <w:rsid w:val="53EB1F23"/>
    <w:rsid w:val="541A79B6"/>
    <w:rsid w:val="554271C4"/>
    <w:rsid w:val="5594082D"/>
    <w:rsid w:val="56000E3D"/>
    <w:rsid w:val="56182108"/>
    <w:rsid w:val="5785444D"/>
    <w:rsid w:val="57985BAE"/>
    <w:rsid w:val="579B08C7"/>
    <w:rsid w:val="57CB58B1"/>
    <w:rsid w:val="57CF2865"/>
    <w:rsid w:val="57F61A77"/>
    <w:rsid w:val="57FE25ED"/>
    <w:rsid w:val="58400165"/>
    <w:rsid w:val="584C5A05"/>
    <w:rsid w:val="586E207E"/>
    <w:rsid w:val="587D473C"/>
    <w:rsid w:val="58A02304"/>
    <w:rsid w:val="591E3AA4"/>
    <w:rsid w:val="59285A55"/>
    <w:rsid w:val="597E4543"/>
    <w:rsid w:val="59AA30BF"/>
    <w:rsid w:val="5B4700E5"/>
    <w:rsid w:val="5B895184"/>
    <w:rsid w:val="5BFB7FA4"/>
    <w:rsid w:val="5C207B33"/>
    <w:rsid w:val="5C3057AA"/>
    <w:rsid w:val="5CB0535B"/>
    <w:rsid w:val="5CC42BB4"/>
    <w:rsid w:val="5CF86B15"/>
    <w:rsid w:val="5D1F69D4"/>
    <w:rsid w:val="5D245401"/>
    <w:rsid w:val="5D3B7AC8"/>
    <w:rsid w:val="5D597129"/>
    <w:rsid w:val="5D7925EB"/>
    <w:rsid w:val="5DC173F6"/>
    <w:rsid w:val="5DE74DAC"/>
    <w:rsid w:val="5DE93BDE"/>
    <w:rsid w:val="5EAF16CE"/>
    <w:rsid w:val="5F1E295A"/>
    <w:rsid w:val="5FFDE26A"/>
    <w:rsid w:val="5FFFC70C"/>
    <w:rsid w:val="602D42F6"/>
    <w:rsid w:val="6042276E"/>
    <w:rsid w:val="604307FB"/>
    <w:rsid w:val="60EE69CE"/>
    <w:rsid w:val="61045C75"/>
    <w:rsid w:val="612C5D46"/>
    <w:rsid w:val="613A1B95"/>
    <w:rsid w:val="6166248C"/>
    <w:rsid w:val="617C3A5E"/>
    <w:rsid w:val="61B45B33"/>
    <w:rsid w:val="61FF01EB"/>
    <w:rsid w:val="62126170"/>
    <w:rsid w:val="62141EE8"/>
    <w:rsid w:val="62173786"/>
    <w:rsid w:val="62402CDD"/>
    <w:rsid w:val="62D961A0"/>
    <w:rsid w:val="63267838"/>
    <w:rsid w:val="638A71B0"/>
    <w:rsid w:val="64721148"/>
    <w:rsid w:val="64E37F22"/>
    <w:rsid w:val="652A5C2D"/>
    <w:rsid w:val="658F3AF8"/>
    <w:rsid w:val="65B85280"/>
    <w:rsid w:val="65CF3345"/>
    <w:rsid w:val="66216982"/>
    <w:rsid w:val="66432D9C"/>
    <w:rsid w:val="669E446B"/>
    <w:rsid w:val="66EE3B95"/>
    <w:rsid w:val="66F87BB7"/>
    <w:rsid w:val="67136C12"/>
    <w:rsid w:val="67604B08"/>
    <w:rsid w:val="67E13492"/>
    <w:rsid w:val="67FD2A2E"/>
    <w:rsid w:val="6812267A"/>
    <w:rsid w:val="682D7592"/>
    <w:rsid w:val="68330BEE"/>
    <w:rsid w:val="6842000A"/>
    <w:rsid w:val="68570D81"/>
    <w:rsid w:val="688471B6"/>
    <w:rsid w:val="69BF20A2"/>
    <w:rsid w:val="6A58493C"/>
    <w:rsid w:val="6AAB3B83"/>
    <w:rsid w:val="6AAF7F42"/>
    <w:rsid w:val="6AB0096F"/>
    <w:rsid w:val="6AED32D6"/>
    <w:rsid w:val="6B0D2DCF"/>
    <w:rsid w:val="6B2D7B77"/>
    <w:rsid w:val="6B735ED1"/>
    <w:rsid w:val="6B8E566D"/>
    <w:rsid w:val="6B905A67"/>
    <w:rsid w:val="6BAE0CB8"/>
    <w:rsid w:val="6BD8207B"/>
    <w:rsid w:val="6C186A79"/>
    <w:rsid w:val="6C7F5874"/>
    <w:rsid w:val="6C7F8AD8"/>
    <w:rsid w:val="6C97799E"/>
    <w:rsid w:val="6D1A412B"/>
    <w:rsid w:val="6D3C5765"/>
    <w:rsid w:val="6D8A5754"/>
    <w:rsid w:val="6DAC7479"/>
    <w:rsid w:val="6DF350A8"/>
    <w:rsid w:val="6DFE57FA"/>
    <w:rsid w:val="6E526759"/>
    <w:rsid w:val="6EFE87D5"/>
    <w:rsid w:val="6F1057E5"/>
    <w:rsid w:val="6F2655CF"/>
    <w:rsid w:val="6F3B6D06"/>
    <w:rsid w:val="6FFD8474"/>
    <w:rsid w:val="702F4391"/>
    <w:rsid w:val="704E2A69"/>
    <w:rsid w:val="70615E19"/>
    <w:rsid w:val="706202C3"/>
    <w:rsid w:val="70CE5958"/>
    <w:rsid w:val="715776FB"/>
    <w:rsid w:val="716A5126"/>
    <w:rsid w:val="71936D24"/>
    <w:rsid w:val="71BE25F8"/>
    <w:rsid w:val="72310F7F"/>
    <w:rsid w:val="72361A07"/>
    <w:rsid w:val="72667AFF"/>
    <w:rsid w:val="726D3428"/>
    <w:rsid w:val="72B03567"/>
    <w:rsid w:val="73133AF6"/>
    <w:rsid w:val="731B027F"/>
    <w:rsid w:val="73222990"/>
    <w:rsid w:val="73480CF5"/>
    <w:rsid w:val="73526624"/>
    <w:rsid w:val="73E01C2A"/>
    <w:rsid w:val="743601FF"/>
    <w:rsid w:val="747F5062"/>
    <w:rsid w:val="74885DEB"/>
    <w:rsid w:val="749A44CF"/>
    <w:rsid w:val="74BD1F6B"/>
    <w:rsid w:val="74F00FE8"/>
    <w:rsid w:val="74F71921"/>
    <w:rsid w:val="762E4274"/>
    <w:rsid w:val="768E17B6"/>
    <w:rsid w:val="76DB0DCF"/>
    <w:rsid w:val="76EE577C"/>
    <w:rsid w:val="76EE6530"/>
    <w:rsid w:val="77225341"/>
    <w:rsid w:val="778E7071"/>
    <w:rsid w:val="77B04009"/>
    <w:rsid w:val="782D2DA3"/>
    <w:rsid w:val="78DE2CE2"/>
    <w:rsid w:val="79022643"/>
    <w:rsid w:val="79336CA0"/>
    <w:rsid w:val="7A5968A9"/>
    <w:rsid w:val="7B1D19B6"/>
    <w:rsid w:val="7B726107"/>
    <w:rsid w:val="7B804420"/>
    <w:rsid w:val="7BB34D0C"/>
    <w:rsid w:val="7BD9687C"/>
    <w:rsid w:val="7BDA2977"/>
    <w:rsid w:val="7BFFFBD9"/>
    <w:rsid w:val="7C0F4D1B"/>
    <w:rsid w:val="7C2209D2"/>
    <w:rsid w:val="7C2362FA"/>
    <w:rsid w:val="7C4B2CB6"/>
    <w:rsid w:val="7C50152E"/>
    <w:rsid w:val="7CFD9ECF"/>
    <w:rsid w:val="7D430D35"/>
    <w:rsid w:val="7D571A5C"/>
    <w:rsid w:val="7DC4436B"/>
    <w:rsid w:val="7DFB573F"/>
    <w:rsid w:val="7DFC06F7"/>
    <w:rsid w:val="7E250CBF"/>
    <w:rsid w:val="7E304F39"/>
    <w:rsid w:val="7E8C5CC9"/>
    <w:rsid w:val="7E9E0987"/>
    <w:rsid w:val="7EFC7B34"/>
    <w:rsid w:val="7F631961"/>
    <w:rsid w:val="7F954211"/>
    <w:rsid w:val="8D16A6C9"/>
    <w:rsid w:val="97EE727C"/>
    <w:rsid w:val="9FDD28AA"/>
    <w:rsid w:val="BCEE948B"/>
    <w:rsid w:val="BF1E1EF4"/>
    <w:rsid w:val="BFBFDA72"/>
    <w:rsid w:val="BFFA06E6"/>
    <w:rsid w:val="DFBFC2A5"/>
    <w:rsid w:val="DFDFF99B"/>
    <w:rsid w:val="EFDF6F2B"/>
    <w:rsid w:val="FBFD38D0"/>
    <w:rsid w:val="FC0D6DDD"/>
    <w:rsid w:val="FD5AF017"/>
    <w:rsid w:val="FFAE337B"/>
    <w:rsid w:val="FFF98A4B"/>
    <w:rsid w:val="FFFE82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annotation text"/>
    <w:basedOn w:val="1"/>
    <w:semiHidden/>
    <w:unhideWhenUsed/>
    <w:qFormat/>
    <w:uiPriority w:val="99"/>
    <w:pPr>
      <w:jc w:val="left"/>
    </w:pPr>
  </w:style>
  <w:style w:type="paragraph" w:styleId="4">
    <w:name w:val="Body Text"/>
    <w:basedOn w:val="1"/>
    <w:next w:val="1"/>
    <w:qFormat/>
    <w:uiPriority w:val="0"/>
    <w:pPr>
      <w:tabs>
        <w:tab w:val="left" w:pos="4760"/>
      </w:tabs>
      <w:jc w:val="left"/>
    </w:pPr>
  </w:style>
  <w:style w:type="paragraph" w:styleId="5">
    <w:name w:val="Balloon Text"/>
    <w:basedOn w:val="1"/>
    <w:link w:val="19"/>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2"/>
    <w:basedOn w:val="1"/>
    <w:next w:val="1"/>
    <w:qFormat/>
    <w:uiPriority w:val="0"/>
    <w:pPr>
      <w:ind w:left="420" w:leftChars="200"/>
    </w:pPr>
  </w:style>
  <w:style w:type="paragraph" w:styleId="9">
    <w:name w:val="Normal (Web)"/>
    <w:basedOn w:val="1"/>
    <w:qFormat/>
    <w:uiPriority w:val="0"/>
    <w:pPr>
      <w:widowControl/>
      <w:spacing w:before="100" w:beforeAutospacing="1" w:after="100" w:afterLines="0" w:afterAutospacing="1" w:line="240" w:lineRule="auto"/>
      <w:jc w:val="left"/>
    </w:pPr>
    <w:rPr>
      <w:rFonts w:ascii="宋体" w:hAnsi="宋体"/>
      <w:color w:val="000000"/>
      <w:kern w:val="0"/>
      <w:sz w:val="18"/>
      <w:szCs w:val="20"/>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character" w:styleId="14">
    <w:name w:val="annotation reference"/>
    <w:basedOn w:val="12"/>
    <w:semiHidden/>
    <w:unhideWhenUsed/>
    <w:qFormat/>
    <w:uiPriority w:val="99"/>
    <w:rPr>
      <w:sz w:val="21"/>
      <w:szCs w:val="21"/>
    </w:rPr>
  </w:style>
  <w:style w:type="character" w:customStyle="1" w:styleId="15">
    <w:name w:val="标题 1 Char"/>
    <w:qFormat/>
    <w:uiPriority w:val="0"/>
    <w:rPr>
      <w:rFonts w:ascii="宋体" w:hAnsi="宋体" w:eastAsia="黑体"/>
      <w:b/>
      <w:bCs/>
      <w:kern w:val="44"/>
      <w:sz w:val="28"/>
      <w:szCs w:val="44"/>
      <w:lang w:val="en-US" w:eastAsia="zh-CN" w:bidi="ar-SA"/>
    </w:rPr>
  </w:style>
  <w:style w:type="paragraph" w:styleId="16">
    <w:name w:val="List Paragraph"/>
    <w:basedOn w:val="1"/>
    <w:qFormat/>
    <w:uiPriority w:val="34"/>
    <w:pPr>
      <w:ind w:firstLine="420" w:firstLineChars="200"/>
    </w:pPr>
  </w:style>
  <w:style w:type="character" w:customStyle="1" w:styleId="17">
    <w:name w:val="页眉 字符"/>
    <w:basedOn w:val="12"/>
    <w:link w:val="7"/>
    <w:qFormat/>
    <w:uiPriority w:val="99"/>
    <w:rPr>
      <w:sz w:val="18"/>
      <w:szCs w:val="18"/>
    </w:rPr>
  </w:style>
  <w:style w:type="character" w:customStyle="1" w:styleId="18">
    <w:name w:val="页脚 字符"/>
    <w:basedOn w:val="12"/>
    <w:link w:val="6"/>
    <w:qFormat/>
    <w:uiPriority w:val="99"/>
    <w:rPr>
      <w:sz w:val="18"/>
      <w:szCs w:val="18"/>
    </w:rPr>
  </w:style>
  <w:style w:type="character" w:customStyle="1" w:styleId="19">
    <w:name w:val="批注框文本 字符"/>
    <w:basedOn w:val="12"/>
    <w:link w:val="5"/>
    <w:semiHidden/>
    <w:qFormat/>
    <w:uiPriority w:val="99"/>
    <w:rPr>
      <w:sz w:val="18"/>
      <w:szCs w:val="18"/>
    </w:rPr>
  </w:style>
  <w:style w:type="paragraph" w:customStyle="1" w:styleId="20">
    <w:name w:val="彩色列表 - 强调文字颜色 11"/>
    <w:basedOn w:val="1"/>
    <w:qFormat/>
    <w:uiPriority w:val="0"/>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2610</Words>
  <Characters>2658</Characters>
  <Lines>9</Lines>
  <Paragraphs>2</Paragraphs>
  <TotalTime>3</TotalTime>
  <ScaleCrop>false</ScaleCrop>
  <LinksUpToDate>false</LinksUpToDate>
  <CharactersWithSpaces>2659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2022-08-01T08:04:00Z</dcterms:created>
  <dc:creator>PC</dc:creator>
  <cp:lastModifiedBy>一个坏人（肖宇）</cp:lastModifiedBy>
  <cp:lastPrinted>2021-07-26T17:31:00Z</cp:lastPrinted>
  <dcterms:modified xsi:type="dcterms:W3CDTF">2024-10-22T03:10:37Z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AA649A1E2CED4A8D8B89AFAB6BF74288_13</vt:lpwstr>
  </property>
</Properties>
</file>