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8"/>
        <w:spacing w:line="560" w:lineRule="exact"/>
        <w:ind w:firstLine="600"/>
      </w:pPr>
      <w:bookmarkStart w:id="0" w:name="_Toc23771215"/>
      <w:bookmarkStart w:id="1" w:name="_Toc377226584"/>
      <w:bookmarkStart w:id="2" w:name="_Toc19539966"/>
      <w:bookmarkStart w:id="3" w:name="_Toc74252271"/>
    </w:p>
    <w:p>
      <w:pPr>
        <w:pStyle w:val="4"/>
        <w:spacing w:before="0" w:after="0" w:line="560" w:lineRule="exact"/>
        <w:jc w:val="both"/>
        <w:rPr>
          <w:rFonts w:ascii="Times New Roman" w:hAnsi="Times New Roman" w:eastAsia="宋体"/>
          <w:sz w:val="40"/>
          <w:szCs w:val="40"/>
        </w:rPr>
      </w:pPr>
      <w:bookmarkStart w:id="4" w:name="_Toc92323683"/>
      <w:bookmarkStart w:id="5" w:name="_Toc91797452"/>
      <w:bookmarkStart w:id="6" w:name="_Toc102758212"/>
      <w:bookmarkStart w:id="7" w:name="_Toc93968279"/>
      <w:bookmarkStart w:id="8" w:name="_Toc91797551"/>
    </w:p>
    <w:p>
      <w:pPr>
        <w:spacing w:line="560" w:lineRule="exact"/>
        <w:rPr>
          <w:rFonts w:ascii="Times New Roman" w:hAnsi="Times New Roman" w:eastAsia="宋体"/>
          <w:sz w:val="40"/>
          <w:szCs w:val="40"/>
        </w:rPr>
      </w:pPr>
    </w:p>
    <w:p>
      <w:pPr>
        <w:pStyle w:val="4"/>
        <w:spacing w:before="0" w:after="0" w:line="560" w:lineRule="exact"/>
        <w:rPr>
          <w:rFonts w:hint="eastAsia" w:ascii="Times New Roman" w:hAnsi="Times New Roman" w:eastAsia="宋体"/>
          <w:sz w:val="40"/>
          <w:szCs w:val="40"/>
        </w:rPr>
      </w:pPr>
      <w:bookmarkStart w:id="9" w:name="_Toc93968280"/>
      <w:bookmarkStart w:id="10" w:name="_Toc102758213"/>
      <w:r>
        <w:rPr>
          <w:rFonts w:hint="default" w:ascii="Times New Roman" w:hAnsi="Times New Roman" w:eastAsia="宋体"/>
          <w:sz w:val="40"/>
          <w:szCs w:val="40"/>
        </w:rPr>
        <w:t>关于《</w:t>
      </w:r>
      <w:r>
        <w:rPr>
          <w:rFonts w:hint="eastAsia" w:ascii="Times New Roman" w:hAnsi="Times New Roman" w:eastAsia="宋体"/>
          <w:sz w:val="40"/>
          <w:szCs w:val="40"/>
        </w:rPr>
        <w:t>宝安区文物保护单位凤凰社区古建筑群</w:t>
      </w:r>
    </w:p>
    <w:p>
      <w:pPr>
        <w:pStyle w:val="4"/>
        <w:spacing w:before="0" w:after="0" w:line="560" w:lineRule="exact"/>
        <w:rPr>
          <w:rFonts w:ascii="Times New Roman" w:hAnsi="Times New Roman" w:eastAsia="宋体"/>
          <w:sz w:val="40"/>
          <w:szCs w:val="40"/>
        </w:rPr>
      </w:pPr>
      <w:r>
        <w:rPr>
          <w:rFonts w:hint="eastAsia" w:ascii="Times New Roman" w:hAnsi="Times New Roman" w:eastAsia="宋体"/>
          <w:sz w:val="40"/>
          <w:szCs w:val="40"/>
        </w:rPr>
        <w:t>保护规划</w:t>
      </w:r>
      <w:bookmarkEnd w:id="4"/>
      <w:bookmarkEnd w:id="5"/>
      <w:bookmarkEnd w:id="6"/>
      <w:bookmarkEnd w:id="7"/>
      <w:bookmarkEnd w:id="8"/>
      <w:bookmarkEnd w:id="9"/>
      <w:bookmarkEnd w:id="10"/>
      <w:r>
        <w:rPr>
          <w:rFonts w:eastAsia="宋体"/>
          <w:b/>
          <w:bCs/>
          <w:sz w:val="40"/>
          <w:szCs w:val="40"/>
          <w:lang w:val="zh-CN"/>
        </w:rPr>
        <w:t>（</w:t>
      </w:r>
      <w:r>
        <w:rPr>
          <w:rFonts w:hint="eastAsia" w:eastAsia="宋体"/>
          <w:b/>
          <w:bCs/>
          <w:sz w:val="40"/>
          <w:szCs w:val="40"/>
          <w:lang w:val="zh-CN"/>
        </w:rPr>
        <w:t>征求意见</w:t>
      </w:r>
      <w:r>
        <w:rPr>
          <w:rFonts w:eastAsia="宋体"/>
          <w:b/>
          <w:bCs/>
          <w:sz w:val="40"/>
          <w:szCs w:val="40"/>
          <w:lang w:val="zh-CN"/>
        </w:rPr>
        <w:t>稿）</w:t>
      </w:r>
      <w:r>
        <w:rPr>
          <w:rFonts w:hint="default" w:ascii="Times New Roman" w:hAnsi="Times New Roman" w:eastAsia="宋体"/>
          <w:sz w:val="40"/>
          <w:szCs w:val="40"/>
        </w:rPr>
        <w:t>》</w:t>
      </w:r>
      <w:r>
        <w:rPr>
          <w:rFonts w:ascii="Times New Roman" w:hAnsi="Times New Roman" w:eastAsia="宋体"/>
          <w:sz w:val="40"/>
          <w:szCs w:val="40"/>
        </w:rPr>
        <w:t>的</w:t>
      </w:r>
      <w:r>
        <w:rPr>
          <w:rFonts w:ascii="Times New Roman" w:hAnsi="Times New Roman" w:eastAsia="宋体"/>
          <w:sz w:val="40"/>
          <w:szCs w:val="40"/>
        </w:rPr>
        <w:t>编制说明</w:t>
      </w:r>
    </w:p>
    <w:p>
      <w:pPr>
        <w:pStyle w:val="4"/>
        <w:spacing w:before="0" w:after="0" w:line="560" w:lineRule="exact"/>
        <w:rPr>
          <w:rFonts w:ascii="Times New Roman" w:hAnsi="Times New Roman" w:eastAsia="宋体"/>
          <w:sz w:val="40"/>
          <w:szCs w:val="40"/>
        </w:rPr>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600"/>
      </w:pPr>
    </w:p>
    <w:p>
      <w:pPr>
        <w:pStyle w:val="38"/>
        <w:spacing w:line="560" w:lineRule="exact"/>
        <w:ind w:firstLine="0" w:firstLineChars="0"/>
      </w:pPr>
    </w:p>
    <w:p>
      <w:pPr>
        <w:pStyle w:val="38"/>
        <w:spacing w:line="560" w:lineRule="exact"/>
        <w:ind w:firstLine="600"/>
      </w:pPr>
    </w:p>
    <w:p>
      <w:pPr>
        <w:pStyle w:val="38"/>
        <w:spacing w:line="560" w:lineRule="exact"/>
        <w:jc w:val="center"/>
        <w:rPr>
          <w:rFonts w:eastAsia="宋体"/>
          <w:b/>
          <w:bCs/>
        </w:rPr>
      </w:pPr>
      <w:r>
        <w:rPr>
          <w:rFonts w:hint="eastAsia" w:eastAsia="宋体"/>
          <w:b/>
          <w:bCs/>
        </w:rPr>
        <w:t>宝安区文化广电旅游体育局</w:t>
      </w:r>
    </w:p>
    <w:p>
      <w:pPr>
        <w:pStyle w:val="38"/>
        <w:spacing w:line="560" w:lineRule="exact"/>
        <w:jc w:val="center"/>
        <w:rPr>
          <w:rFonts w:eastAsia="宋体"/>
          <w:b/>
          <w:bCs/>
        </w:rPr>
      </w:pPr>
      <w:r>
        <w:rPr>
          <w:rFonts w:eastAsia="宋体"/>
          <w:b/>
          <w:bCs/>
        </w:rPr>
        <w:t>202</w:t>
      </w:r>
      <w:r>
        <w:rPr>
          <w:rFonts w:hint="default" w:eastAsia="宋体"/>
          <w:b/>
          <w:bCs/>
        </w:rPr>
        <w:t>5</w:t>
      </w:r>
      <w:r>
        <w:rPr>
          <w:rFonts w:eastAsia="宋体"/>
          <w:b/>
          <w:bCs/>
        </w:rPr>
        <w:t>年</w:t>
      </w:r>
      <w:r>
        <w:rPr>
          <w:rFonts w:hint="default" w:eastAsia="宋体"/>
          <w:b/>
          <w:bCs/>
        </w:rPr>
        <w:t>4</w:t>
      </w:r>
      <w:r>
        <w:rPr>
          <w:rFonts w:eastAsia="宋体"/>
          <w:b/>
          <w:bCs/>
        </w:rPr>
        <w:t>月</w:t>
      </w:r>
    </w:p>
    <w:p>
      <w:pPr>
        <w:pStyle w:val="38"/>
        <w:spacing w:line="560" w:lineRule="exact"/>
        <w:ind w:firstLine="600"/>
        <w:rPr>
          <w:lang w:val="sq-AL"/>
        </w:rPr>
        <w:sectPr>
          <w:headerReference r:id="rId3" w:type="default"/>
          <w:pgSz w:w="11906" w:h="16838"/>
          <w:pgMar w:top="1440" w:right="1361" w:bottom="1440" w:left="1587" w:header="851" w:footer="992" w:gutter="0"/>
          <w:cols w:space="425" w:num="1"/>
          <w:docGrid w:type="lines" w:linePitch="312" w:charSpace="0"/>
        </w:sectPr>
      </w:pPr>
    </w:p>
    <w:bookmarkEnd w:id="0"/>
    <w:bookmarkEnd w:id="1"/>
    <w:bookmarkEnd w:id="2"/>
    <w:bookmarkEnd w:id="3"/>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一、编制背景</w:t>
      </w:r>
    </w:p>
    <w:p>
      <w:pPr>
        <w:pStyle w:val="38"/>
        <w:spacing w:line="560" w:lineRule="exact"/>
        <w:ind w:firstLine="640"/>
        <w:rPr>
          <w:rFonts w:ascii="CESI仿宋-GB2312" w:hAnsi="CESI仿宋-GB2312" w:eastAsia="CESI仿宋-GB2312" w:cs="CESI仿宋-GB2312"/>
          <w:bCs/>
          <w:sz w:val="32"/>
          <w:szCs w:val="32"/>
          <w:lang w:bidi="ar"/>
        </w:rPr>
      </w:pPr>
      <w:r>
        <w:rPr>
          <w:rFonts w:hint="eastAsia" w:ascii="CESI仿宋-GB2312" w:hAnsi="CESI仿宋-GB2312" w:eastAsia="CESI仿宋-GB2312" w:cs="CESI仿宋-GB2312"/>
          <w:bCs/>
          <w:sz w:val="32"/>
          <w:szCs w:val="32"/>
          <w:lang w:bidi="ar"/>
        </w:rPr>
        <w:t>凤凰社区古建筑群于</w:t>
      </w:r>
      <w:r>
        <w:rPr>
          <w:rFonts w:ascii="CESI仿宋-GB2312" w:hAnsi="CESI仿宋-GB2312" w:eastAsia="CESI仿宋-GB2312" w:cs="CESI仿宋-GB2312"/>
          <w:bCs/>
          <w:sz w:val="32"/>
          <w:szCs w:val="32"/>
          <w:lang w:bidi="ar"/>
        </w:rPr>
        <w:t>2005 年7 月18 日公布为宝安区文物保护单位（深宝府[2005]61</w:t>
      </w:r>
      <w:r>
        <w:rPr>
          <w:rFonts w:hint="eastAsia" w:ascii="CESI仿宋-GB2312" w:hAnsi="CESI仿宋-GB2312" w:eastAsia="CESI仿宋-GB2312" w:cs="CESI仿宋-GB2312"/>
          <w:bCs/>
          <w:sz w:val="32"/>
          <w:szCs w:val="32"/>
          <w:lang w:bidi="ar"/>
        </w:rPr>
        <w:t>号），《凤凰村古建筑群文物保护规划》于</w:t>
      </w:r>
      <w:r>
        <w:rPr>
          <w:rFonts w:ascii="CESI仿宋-GB2312" w:hAnsi="CESI仿宋-GB2312" w:eastAsia="CESI仿宋-GB2312" w:cs="CESI仿宋-GB2312"/>
          <w:bCs/>
          <w:sz w:val="32"/>
          <w:szCs w:val="32"/>
          <w:lang w:bidi="ar"/>
        </w:rPr>
        <w:t>2010年经区政府四届九十四次常务会议研究批准，</w:t>
      </w:r>
      <w:r>
        <w:rPr>
          <w:rFonts w:hint="eastAsia" w:ascii="CESI仿宋-GB2312" w:hAnsi="CESI仿宋-GB2312" w:eastAsia="CESI仿宋-GB2312" w:cs="CESI仿宋-GB2312"/>
          <w:bCs/>
          <w:sz w:val="32"/>
          <w:szCs w:val="32"/>
          <w:lang w:bidi="ar"/>
        </w:rPr>
        <w:t>予以公布（深宝府</w:t>
      </w:r>
      <w:r>
        <w:rPr>
          <w:rFonts w:ascii="CESI仿宋-GB2312" w:hAnsi="CESI仿宋-GB2312" w:eastAsia="CESI仿宋-GB2312" w:cs="CESI仿宋-GB2312"/>
          <w:bCs/>
          <w:sz w:val="32"/>
          <w:szCs w:val="32"/>
          <w:lang w:bidi="ar"/>
        </w:rPr>
        <w:t>[2010]8 号）。《凤凰村古建筑群文物保护规划》规划期限已于2020 年到</w:t>
      </w:r>
      <w:r>
        <w:rPr>
          <w:rFonts w:hint="eastAsia" w:ascii="CESI仿宋-GB2312" w:hAnsi="CESI仿宋-GB2312" w:eastAsia="CESI仿宋-GB2312" w:cs="CESI仿宋-GB2312"/>
          <w:bCs/>
          <w:sz w:val="32"/>
          <w:szCs w:val="32"/>
          <w:lang w:bidi="ar"/>
        </w:rPr>
        <w:t>期，需按时修编新的保护规划。同时，深圳市宝安区文化广电旅游体育局于</w:t>
      </w:r>
      <w:r>
        <w:rPr>
          <w:rFonts w:ascii="CESI仿宋-GB2312" w:hAnsi="CESI仿宋-GB2312" w:eastAsia="CESI仿宋-GB2312" w:cs="CESI仿宋-GB2312"/>
          <w:bCs/>
          <w:sz w:val="32"/>
          <w:szCs w:val="32"/>
          <w:lang w:bidi="ar"/>
        </w:rPr>
        <w:t>2021 年10 月11</w:t>
      </w:r>
      <w:r>
        <w:rPr>
          <w:rFonts w:hint="eastAsia" w:ascii="CESI仿宋-GB2312" w:hAnsi="CESI仿宋-GB2312" w:eastAsia="CESI仿宋-GB2312" w:cs="CESI仿宋-GB2312"/>
          <w:bCs/>
          <w:sz w:val="32"/>
          <w:szCs w:val="32"/>
          <w:lang w:bidi="ar"/>
        </w:rPr>
        <w:t>日发布《关于核定公布宝安区区级文物保护单位本体构成清单的通知》，明确“凤凰社区古建筑群”的文物本体构成共</w:t>
      </w:r>
      <w:r>
        <w:rPr>
          <w:rFonts w:ascii="CESI仿宋-GB2312" w:hAnsi="CESI仿宋-GB2312" w:eastAsia="CESI仿宋-GB2312" w:cs="CESI仿宋-GB2312"/>
          <w:bCs/>
          <w:sz w:val="32"/>
          <w:szCs w:val="32"/>
          <w:lang w:bidi="ar"/>
        </w:rPr>
        <w:t>22 处建构筑物，较《凤凰村古建筑群文物保护规划》（2010），凤</w:t>
      </w:r>
      <w:r>
        <w:rPr>
          <w:rFonts w:hint="eastAsia" w:ascii="CESI仿宋-GB2312" w:hAnsi="CESI仿宋-GB2312" w:eastAsia="CESI仿宋-GB2312" w:cs="CESI仿宋-GB2312"/>
          <w:bCs/>
          <w:sz w:val="32"/>
          <w:szCs w:val="32"/>
          <w:lang w:bidi="ar"/>
        </w:rPr>
        <w:t>凰社区古建筑群的文物本体构成作了新调整，《凤凰村古建筑群文物保护规划》的成果已与文物的实际情况不符。</w:t>
      </w:r>
    </w:p>
    <w:p>
      <w:pPr>
        <w:pStyle w:val="38"/>
        <w:spacing w:line="560" w:lineRule="exact"/>
        <w:ind w:firstLine="640"/>
        <w:rPr>
          <w:rFonts w:ascii="CESI仿宋-GB2312" w:hAnsi="CESI仿宋-GB2312" w:eastAsia="CESI仿宋-GB2312" w:cs="CESI仿宋-GB2312"/>
          <w:bCs/>
          <w:sz w:val="32"/>
          <w:szCs w:val="32"/>
          <w:lang w:bidi="ar"/>
        </w:rPr>
      </w:pPr>
      <w:r>
        <w:rPr>
          <w:rFonts w:hint="eastAsia" w:ascii="CESI仿宋-GB2312" w:hAnsi="CESI仿宋-GB2312" w:eastAsia="CESI仿宋-GB2312" w:cs="CESI仿宋-GB2312"/>
          <w:bCs/>
          <w:sz w:val="32"/>
          <w:szCs w:val="32"/>
          <w:lang w:bidi="ar"/>
        </w:rPr>
        <w:t>在</w:t>
      </w:r>
      <w:r>
        <w:rPr>
          <w:rFonts w:ascii="CESI仿宋-GB2312" w:hAnsi="CESI仿宋-GB2312" w:eastAsia="CESI仿宋-GB2312" w:cs="CESI仿宋-GB2312"/>
          <w:bCs/>
          <w:sz w:val="32"/>
          <w:szCs w:val="32"/>
          <w:lang w:bidi="ar"/>
        </w:rPr>
        <w:t>2022 年8 月，为了进一步保护和利用凤凰古村，建立完善的保护体系，宝安区文</w:t>
      </w:r>
      <w:r>
        <w:rPr>
          <w:rFonts w:hint="eastAsia" w:ascii="CESI仿宋-GB2312" w:hAnsi="CESI仿宋-GB2312" w:eastAsia="CESI仿宋-GB2312" w:cs="CESI仿宋-GB2312"/>
          <w:bCs/>
          <w:sz w:val="32"/>
          <w:szCs w:val="32"/>
          <w:lang w:bidi="ar"/>
        </w:rPr>
        <w:t>化广电旅游体育局组织编制《宝安区文物保护单位凤凰社区古建筑群保护规划（</w:t>
      </w:r>
      <w:r>
        <w:rPr>
          <w:rFonts w:ascii="CESI仿宋-GB2312" w:hAnsi="CESI仿宋-GB2312" w:eastAsia="CESI仿宋-GB2312" w:cs="CESI仿宋-GB2312"/>
          <w:bCs/>
          <w:sz w:val="32"/>
          <w:szCs w:val="32"/>
          <w:lang w:bidi="ar"/>
        </w:rPr>
        <w:t>2023~2035年）</w:t>
      </w:r>
      <w:r>
        <w:rPr>
          <w:rFonts w:hint="eastAsia" w:ascii="CESI仿宋-GB2312" w:hAnsi="CESI仿宋-GB2312" w:eastAsia="CESI仿宋-GB2312" w:cs="CESI仿宋-GB2312"/>
          <w:bCs/>
          <w:sz w:val="32"/>
          <w:szCs w:val="32"/>
          <w:lang w:bidi="ar"/>
        </w:rPr>
        <w:t>》。</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二、编制依据</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（一）</w:t>
      </w:r>
      <w:r>
        <w:rPr>
          <w:rFonts w:hint="eastAsia" w:ascii="CESI仿宋-GB2312" w:hAnsi="CESI仿宋-GB2312" w:eastAsia="CESI仿宋-GB2312" w:cs="CESI仿宋-GB2312"/>
          <w:bCs/>
          <w:sz w:val="32"/>
          <w:szCs w:val="32"/>
        </w:rPr>
        <w:t>《中华人民共和国文物保护法》（</w:t>
      </w:r>
      <w:r>
        <w:rPr>
          <w:rFonts w:ascii="CESI仿宋-GB2312" w:hAnsi="CESI仿宋-GB2312" w:eastAsia="CESI仿宋-GB2312" w:cs="CESI仿宋-GB2312"/>
          <w:bCs/>
          <w:sz w:val="32"/>
          <w:szCs w:val="32"/>
        </w:rPr>
        <w:t>2017年修正）</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（二）</w:t>
      </w:r>
      <w:r>
        <w:rPr>
          <w:rFonts w:hint="eastAsia" w:ascii="CESI仿宋-GB2312" w:hAnsi="CESI仿宋-GB2312" w:eastAsia="CESI仿宋-GB2312" w:cs="CESI仿宋-GB2312"/>
          <w:bCs/>
          <w:sz w:val="32"/>
          <w:szCs w:val="32"/>
        </w:rPr>
        <w:t>《中华人民共和国城乡规划法》（</w:t>
      </w:r>
      <w:r>
        <w:rPr>
          <w:rFonts w:ascii="CESI仿宋-GB2312" w:hAnsi="CESI仿宋-GB2312" w:eastAsia="CESI仿宋-GB2312" w:cs="CESI仿宋-GB2312"/>
          <w:bCs/>
          <w:sz w:val="32"/>
          <w:szCs w:val="32"/>
        </w:rPr>
        <w:t>2019年修正）</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w w:val="90"/>
          <w:sz w:val="32"/>
          <w:szCs w:val="32"/>
        </w:rPr>
        <w:t>（三）</w:t>
      </w:r>
      <w:r>
        <w:rPr>
          <w:rFonts w:hint="eastAsia" w:ascii="CESI仿宋-GB2312" w:hAnsi="CESI仿宋-GB2312" w:eastAsia="CESI仿宋-GB2312" w:cs="CESI仿宋-GB2312"/>
          <w:bCs/>
          <w:w w:val="90"/>
          <w:sz w:val="32"/>
          <w:szCs w:val="32"/>
        </w:rPr>
        <w:t>《中华人民共和国文物保护法实施条例》（</w:t>
      </w:r>
      <w:r>
        <w:rPr>
          <w:rFonts w:ascii="CESI仿宋-GB2312" w:hAnsi="CESI仿宋-GB2312" w:eastAsia="CESI仿宋-GB2312" w:cs="CESI仿宋-GB2312"/>
          <w:bCs/>
          <w:w w:val="90"/>
          <w:sz w:val="32"/>
          <w:szCs w:val="32"/>
        </w:rPr>
        <w:t>2017年修订）</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（四）</w:t>
      </w:r>
      <w:r>
        <w:rPr>
          <w:rFonts w:hint="eastAsia" w:ascii="CESI仿宋-GB2312" w:hAnsi="CESI仿宋-GB2312" w:eastAsia="CESI仿宋-GB2312" w:cs="CESI仿宋-GB2312"/>
          <w:bCs/>
          <w:sz w:val="32"/>
          <w:szCs w:val="32"/>
        </w:rPr>
        <w:t>《文物保护工程管理办法》（</w:t>
      </w:r>
      <w:r>
        <w:rPr>
          <w:rFonts w:ascii="CESI仿宋-GB2312" w:hAnsi="CESI仿宋-GB2312" w:eastAsia="CESI仿宋-GB2312" w:cs="CESI仿宋-GB2312"/>
          <w:bCs/>
          <w:sz w:val="32"/>
          <w:szCs w:val="32"/>
        </w:rPr>
        <w:t>2003年）</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（五）</w:t>
      </w:r>
      <w:r>
        <w:rPr>
          <w:rFonts w:hint="eastAsia" w:ascii="CESI仿宋-GB2312" w:hAnsi="CESI仿宋-GB2312" w:eastAsia="CESI仿宋-GB2312" w:cs="CESI仿宋-GB2312"/>
          <w:bCs/>
          <w:sz w:val="32"/>
          <w:szCs w:val="32"/>
        </w:rPr>
        <w:t>《历史文化名城保护规划标准》（</w:t>
      </w:r>
      <w:r>
        <w:rPr>
          <w:rFonts w:ascii="CESI仿宋-GB2312" w:hAnsi="CESI仿宋-GB2312" w:eastAsia="CESI仿宋-GB2312" w:cs="CESI仿宋-GB2312"/>
          <w:bCs/>
          <w:sz w:val="32"/>
          <w:szCs w:val="32"/>
        </w:rPr>
        <w:t>GBT50357-2018）</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（六）</w:t>
      </w:r>
      <w:r>
        <w:rPr>
          <w:rFonts w:hint="eastAsia" w:ascii="CESI仿宋-GB2312" w:hAnsi="CESI仿宋-GB2312" w:eastAsia="CESI仿宋-GB2312" w:cs="CESI仿宋-GB2312"/>
          <w:bCs/>
          <w:sz w:val="32"/>
          <w:szCs w:val="32"/>
        </w:rPr>
        <w:t>《全国重点文物保护单位保护规划编制要求》（2</w:t>
      </w:r>
      <w:r>
        <w:rPr>
          <w:rFonts w:ascii="CESI仿宋-GB2312" w:hAnsi="CESI仿宋-GB2312" w:eastAsia="CESI仿宋-GB2312" w:cs="CESI仿宋-GB2312"/>
          <w:bCs/>
          <w:sz w:val="32"/>
          <w:szCs w:val="32"/>
        </w:rPr>
        <w:t>004</w:t>
      </w:r>
      <w:r>
        <w:rPr>
          <w:rFonts w:hint="eastAsia" w:ascii="CESI仿宋-GB2312" w:hAnsi="CESI仿宋-GB2312" w:eastAsia="CESI仿宋-GB2312" w:cs="CESI仿宋-GB2312"/>
          <w:bCs/>
          <w:sz w:val="32"/>
          <w:szCs w:val="32"/>
        </w:rPr>
        <w:t>）</w:t>
      </w:r>
    </w:p>
    <w:p>
      <w:pPr>
        <w:pStyle w:val="38"/>
        <w:numPr>
          <w:numId w:val="0"/>
        </w:numPr>
        <w:spacing w:line="560" w:lineRule="exact"/>
        <w:ind w:left="640" w:leftChars="0"/>
        <w:rPr>
          <w:rFonts w:ascii="CESI仿宋-GB2312" w:hAnsi="CESI仿宋-GB2312" w:eastAsia="CESI仿宋-GB2312" w:cs="CESI仿宋-GB2312"/>
          <w:bCs/>
          <w:w w:val="90"/>
          <w:sz w:val="32"/>
          <w:szCs w:val="32"/>
        </w:rPr>
      </w:pPr>
      <w:r>
        <w:rPr>
          <w:rFonts w:hint="default" w:ascii="CESI仿宋-GB2312" w:hAnsi="CESI仿宋-GB2312" w:eastAsia="CESI仿宋-GB2312" w:cs="CESI仿宋-GB2312"/>
          <w:bCs/>
          <w:w w:val="90"/>
          <w:sz w:val="32"/>
          <w:szCs w:val="32"/>
        </w:rPr>
        <w:t>（七）</w:t>
      </w:r>
      <w:r>
        <w:rPr>
          <w:rFonts w:hint="eastAsia" w:ascii="CESI仿宋-GB2312" w:hAnsi="CESI仿宋-GB2312" w:eastAsia="CESI仿宋-GB2312" w:cs="CESI仿宋-GB2312"/>
          <w:bCs/>
          <w:w w:val="90"/>
          <w:sz w:val="32"/>
          <w:szCs w:val="32"/>
        </w:rPr>
        <w:t>《全国重点文物保护单位保护规划编制审批办法》（</w:t>
      </w:r>
      <w:r>
        <w:rPr>
          <w:rFonts w:ascii="CESI仿宋-GB2312" w:hAnsi="CESI仿宋-GB2312" w:eastAsia="CESI仿宋-GB2312" w:cs="CESI仿宋-GB2312"/>
          <w:bCs/>
          <w:w w:val="90"/>
          <w:sz w:val="32"/>
          <w:szCs w:val="32"/>
        </w:rPr>
        <w:t>2004）</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（八）</w:t>
      </w:r>
      <w:r>
        <w:rPr>
          <w:rFonts w:hint="eastAsia" w:ascii="CESI仿宋-GB2312" w:hAnsi="CESI仿宋-GB2312" w:eastAsia="CESI仿宋-GB2312" w:cs="CESI仿宋-GB2312"/>
          <w:bCs/>
          <w:sz w:val="32"/>
          <w:szCs w:val="32"/>
        </w:rPr>
        <w:t>《广东省文化和旅游厅广东省自然资源厅广东省住房和城乡建设厅关于印发</w:t>
      </w:r>
      <w:r>
        <w:rPr>
          <w:rFonts w:ascii="CESI仿宋-GB2312" w:hAnsi="CESI仿宋-GB2312" w:eastAsia="CESI仿宋-GB2312" w:cs="CESI仿宋-GB2312"/>
          <w:bCs/>
          <w:sz w:val="32"/>
          <w:szCs w:val="32"/>
        </w:rPr>
        <w:t>&lt;广东省文物保护单位保护范围</w:t>
      </w:r>
      <w:r>
        <w:rPr>
          <w:rFonts w:ascii="CESI仿宋-GB2312" w:hAnsi="CESI仿宋-GB2312" w:eastAsia="CESI仿宋-GB2312" w:cs="CESI仿宋-GB2312"/>
          <w:bCs/>
          <w:w w:val="90"/>
          <w:sz w:val="32"/>
          <w:szCs w:val="32"/>
        </w:rPr>
        <w:t>和建设控制地带划定办法&gt;的通知》（粤文旅规〔2023〕2 号）</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（九）</w:t>
      </w:r>
      <w:r>
        <w:rPr>
          <w:rFonts w:hint="eastAsia" w:ascii="CESI仿宋-GB2312" w:hAnsi="CESI仿宋-GB2312" w:eastAsia="CESI仿宋-GB2312" w:cs="CESI仿宋-GB2312"/>
          <w:bCs/>
          <w:sz w:val="32"/>
          <w:szCs w:val="32"/>
        </w:rPr>
        <w:t>《广东省文化和旅游厅广东省自然资源厅广东省住房和城乡建设厅关于印发</w:t>
      </w:r>
      <w:r>
        <w:rPr>
          <w:rFonts w:ascii="CESI仿宋-GB2312" w:hAnsi="CESI仿宋-GB2312" w:eastAsia="CESI仿宋-GB2312" w:cs="CESI仿宋-GB2312"/>
          <w:bCs/>
          <w:sz w:val="32"/>
          <w:szCs w:val="32"/>
        </w:rPr>
        <w:t>&lt;广东省文物保护单位保护规划编制工作指引&gt;的通知》（2023年）</w:t>
      </w:r>
    </w:p>
    <w:p>
      <w:pPr>
        <w:pStyle w:val="38"/>
        <w:numPr>
          <w:numId w:val="0"/>
        </w:numPr>
        <w:spacing w:line="560" w:lineRule="exact"/>
        <w:ind w:left="640" w:leftChars="0"/>
        <w:rPr>
          <w:rFonts w:ascii="CESI仿宋-GB2312" w:hAnsi="CESI仿宋-GB2312" w:eastAsia="CESI仿宋-GB2312" w:cs="CESI仿宋-GB2312"/>
          <w:bCs/>
          <w:w w:val="90"/>
          <w:sz w:val="32"/>
          <w:szCs w:val="32"/>
        </w:rPr>
      </w:pPr>
      <w:r>
        <w:rPr>
          <w:rFonts w:hint="default" w:ascii="CESI仿宋-GB2312" w:hAnsi="CESI仿宋-GB2312" w:eastAsia="CESI仿宋-GB2312" w:cs="CESI仿宋-GB2312"/>
          <w:bCs/>
          <w:w w:val="90"/>
          <w:sz w:val="32"/>
          <w:szCs w:val="32"/>
        </w:rPr>
        <w:t>（十）</w:t>
      </w:r>
      <w:r>
        <w:rPr>
          <w:rFonts w:hint="eastAsia" w:ascii="CESI仿宋-GB2312" w:hAnsi="CESI仿宋-GB2312" w:eastAsia="CESI仿宋-GB2312" w:cs="CESI仿宋-GB2312"/>
          <w:bCs/>
          <w:w w:val="90"/>
          <w:sz w:val="32"/>
          <w:szCs w:val="32"/>
        </w:rPr>
        <w:t>《深圳市历史风貌区和历史建筑保护办法（试行）》（</w:t>
      </w:r>
      <w:r>
        <w:rPr>
          <w:rFonts w:ascii="CESI仿宋-GB2312" w:hAnsi="CESI仿宋-GB2312" w:eastAsia="CESI仿宋-GB2312" w:cs="CESI仿宋-GB2312"/>
          <w:bCs/>
          <w:w w:val="90"/>
          <w:sz w:val="32"/>
          <w:szCs w:val="32"/>
        </w:rPr>
        <w:t>2020）</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（十一）</w:t>
      </w:r>
      <w:r>
        <w:rPr>
          <w:rFonts w:hint="eastAsia" w:ascii="CESI仿宋-GB2312" w:hAnsi="CESI仿宋-GB2312" w:eastAsia="CESI仿宋-GB2312" w:cs="CESI仿宋-GB2312"/>
          <w:bCs/>
          <w:sz w:val="32"/>
          <w:szCs w:val="32"/>
        </w:rPr>
        <w:t>《深圳市城市紫线规划（修编）》（公示稿）</w:t>
      </w:r>
    </w:p>
    <w:p>
      <w:pPr>
        <w:pStyle w:val="38"/>
        <w:numPr>
          <w:numId w:val="0"/>
        </w:numPr>
        <w:spacing w:line="560" w:lineRule="exact"/>
        <w:ind w:left="640" w:leftChars="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（十二）</w:t>
      </w:r>
      <w:r>
        <w:rPr>
          <w:rFonts w:hint="eastAsia" w:ascii="CESI仿宋-GB2312" w:hAnsi="CESI仿宋-GB2312" w:eastAsia="CESI仿宋-GB2312" w:cs="CESI仿宋-GB2312"/>
          <w:bCs/>
          <w:sz w:val="32"/>
          <w:szCs w:val="32"/>
        </w:rPr>
        <w:t>《关于核定公布宝安区区级文物保护单位本体构成清单的通知》（</w:t>
      </w:r>
      <w:r>
        <w:rPr>
          <w:rFonts w:ascii="CESI仿宋-GB2312" w:hAnsi="CESI仿宋-GB2312" w:eastAsia="CESI仿宋-GB2312" w:cs="CESI仿宋-GB2312"/>
          <w:bCs/>
          <w:sz w:val="32"/>
          <w:szCs w:val="32"/>
        </w:rPr>
        <w:t>2021）</w:t>
      </w:r>
    </w:p>
    <w:p>
      <w:pPr>
        <w:pStyle w:val="38"/>
        <w:numPr>
          <w:numId w:val="0"/>
        </w:numPr>
        <w:spacing w:line="560" w:lineRule="exact"/>
        <w:ind w:left="640" w:leftChars="0"/>
        <w:rPr>
          <w:rFonts w:hint="eastAsia"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w:t>
      </w:r>
      <w:r>
        <w:rPr>
          <w:rFonts w:hint="default" w:ascii="CESI仿宋-GB2312" w:hAnsi="CESI仿宋-GB2312" w:eastAsia="CESI仿宋-GB2312" w:cs="CESI仿宋-GB2312"/>
          <w:bCs/>
          <w:sz w:val="32"/>
          <w:szCs w:val="32"/>
        </w:rPr>
        <w:t>十三</w:t>
      </w:r>
      <w:r>
        <w:rPr>
          <w:rFonts w:hint="default" w:ascii="CESI仿宋-GB2312" w:hAnsi="CESI仿宋-GB2312" w:eastAsia="CESI仿宋-GB2312" w:cs="CESI仿宋-GB2312"/>
          <w:bCs/>
          <w:sz w:val="32"/>
          <w:szCs w:val="32"/>
        </w:rPr>
        <w:t>）</w:t>
      </w:r>
      <w:r>
        <w:rPr>
          <w:rFonts w:hint="eastAsia" w:ascii="CESI仿宋-GB2312" w:hAnsi="CESI仿宋-GB2312" w:eastAsia="CESI仿宋-GB2312" w:cs="CESI仿宋-GB2312"/>
          <w:bCs/>
          <w:sz w:val="32"/>
          <w:szCs w:val="32"/>
        </w:rPr>
        <w:t>《宝安区文物保护与利用总体规划》（征求意见稿）</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三、编制过程</w:t>
      </w:r>
    </w:p>
    <w:p>
      <w:pPr>
        <w:pStyle w:val="38"/>
        <w:spacing w:line="560" w:lineRule="exact"/>
        <w:ind w:firstLine="64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编制工作共经历了以下6个阶段：</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（一）工作启动阶段</w:t>
      </w:r>
      <w:r>
        <w:rPr>
          <w:rFonts w:hint="eastAsia" w:ascii="CESI仿宋-GB2312" w:hAnsi="CESI仿宋-GB2312" w:eastAsia="CESI仿宋-GB2312" w:cs="CESI仿宋-GB2312"/>
          <w:bCs/>
          <w:sz w:val="32"/>
          <w:szCs w:val="32"/>
        </w:rPr>
        <w:t>。202</w:t>
      </w:r>
      <w:r>
        <w:rPr>
          <w:rFonts w:ascii="CESI仿宋-GB2312" w:hAnsi="CESI仿宋-GB2312" w:eastAsia="CESI仿宋-GB2312" w:cs="CESI仿宋-GB2312"/>
          <w:bCs/>
          <w:sz w:val="32"/>
          <w:szCs w:val="32"/>
        </w:rPr>
        <w:t>2</w:t>
      </w:r>
      <w:r>
        <w:rPr>
          <w:rFonts w:hint="eastAsia" w:ascii="CESI仿宋-GB2312" w:hAnsi="CESI仿宋-GB2312" w:eastAsia="CESI仿宋-GB2312" w:cs="CESI仿宋-GB2312"/>
          <w:bCs/>
          <w:sz w:val="32"/>
          <w:szCs w:val="32"/>
        </w:rPr>
        <w:t>年8月，</w:t>
      </w:r>
      <w:r>
        <w:rPr>
          <w:rFonts w:hint="default" w:ascii="CESI仿宋-GB2312" w:hAnsi="CESI仿宋-GB2312" w:eastAsia="CESI仿宋-GB2312" w:cs="CESI仿宋-GB2312"/>
          <w:bCs/>
          <w:sz w:val="32"/>
          <w:szCs w:val="32"/>
        </w:rPr>
        <w:t>启动</w:t>
      </w:r>
      <w:r>
        <w:rPr>
          <w:rFonts w:hint="eastAsia" w:ascii="CESI仿宋-GB2312" w:hAnsi="CESI仿宋-GB2312" w:eastAsia="CESI仿宋-GB2312" w:cs="CESI仿宋-GB2312"/>
          <w:bCs/>
          <w:sz w:val="32"/>
          <w:szCs w:val="32"/>
        </w:rPr>
        <w:t>深圳凤凰村古建筑群文物保护规划与历史文化资源保护利用专题研究工作，编制宝安区文物保护单位凤凰社区古建筑群保护规划等相关文件（以下简称《规划》）。</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（二）资料收集阶段。</w:t>
      </w:r>
      <w:r>
        <w:rPr>
          <w:rFonts w:hint="eastAsia" w:ascii="CESI仿宋-GB2312" w:hAnsi="CESI仿宋-GB2312" w:eastAsia="CESI仿宋-GB2312" w:cs="CESI仿宋-GB2312"/>
          <w:bCs/>
          <w:sz w:val="32"/>
          <w:szCs w:val="32"/>
        </w:rPr>
        <w:t>202</w:t>
      </w:r>
      <w:r>
        <w:rPr>
          <w:rFonts w:ascii="CESI仿宋-GB2312" w:hAnsi="CESI仿宋-GB2312" w:eastAsia="CESI仿宋-GB2312" w:cs="CESI仿宋-GB2312"/>
          <w:bCs/>
          <w:sz w:val="32"/>
          <w:szCs w:val="32"/>
        </w:rPr>
        <w:t>2</w:t>
      </w:r>
      <w:r>
        <w:rPr>
          <w:rFonts w:hint="eastAsia" w:ascii="CESI仿宋-GB2312" w:hAnsi="CESI仿宋-GB2312" w:eastAsia="CESI仿宋-GB2312" w:cs="CESI仿宋-GB2312"/>
          <w:bCs/>
          <w:sz w:val="32"/>
          <w:szCs w:val="32"/>
        </w:rPr>
        <w:t>年</w:t>
      </w:r>
      <w:r>
        <w:rPr>
          <w:rFonts w:ascii="CESI仿宋-GB2312" w:hAnsi="CESI仿宋-GB2312" w:eastAsia="CESI仿宋-GB2312" w:cs="CESI仿宋-GB2312"/>
          <w:bCs/>
          <w:sz w:val="32"/>
          <w:szCs w:val="32"/>
        </w:rPr>
        <w:t>8</w:t>
      </w:r>
      <w:r>
        <w:rPr>
          <w:rFonts w:hint="eastAsia" w:ascii="CESI仿宋-GB2312" w:hAnsi="CESI仿宋-GB2312" w:eastAsia="CESI仿宋-GB2312" w:cs="CESI仿宋-GB2312"/>
          <w:bCs/>
          <w:sz w:val="32"/>
          <w:szCs w:val="32"/>
        </w:rPr>
        <w:t>月-</w:t>
      </w:r>
      <w:r>
        <w:rPr>
          <w:rFonts w:ascii="CESI仿宋-GB2312" w:hAnsi="CESI仿宋-GB2312" w:eastAsia="CESI仿宋-GB2312" w:cs="CESI仿宋-GB2312"/>
          <w:bCs/>
          <w:sz w:val="32"/>
          <w:szCs w:val="32"/>
        </w:rPr>
        <w:t>2023年4月</w:t>
      </w:r>
      <w:r>
        <w:rPr>
          <w:rFonts w:hint="eastAsia" w:ascii="CESI仿宋-GB2312" w:hAnsi="CESI仿宋-GB2312" w:eastAsia="CESI仿宋-GB2312" w:cs="CESI仿宋-GB2312"/>
          <w:bCs/>
          <w:sz w:val="32"/>
          <w:szCs w:val="32"/>
        </w:rPr>
        <w:t>，完成前期研究、现状调查记录、各相关单位座谈交流及现场调查工作。</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（三）提交初稿阶段。</w:t>
      </w:r>
      <w:r>
        <w:rPr>
          <w:rFonts w:hint="eastAsia" w:ascii="CESI仿宋-GB2312" w:hAnsi="CESI仿宋-GB2312" w:eastAsia="CESI仿宋-GB2312" w:cs="CESI仿宋-GB2312"/>
          <w:bCs/>
          <w:sz w:val="32"/>
          <w:szCs w:val="32"/>
        </w:rPr>
        <w:t>2023年</w:t>
      </w:r>
      <w:r>
        <w:rPr>
          <w:rFonts w:ascii="CESI仿宋-GB2312" w:hAnsi="CESI仿宋-GB2312" w:eastAsia="CESI仿宋-GB2312" w:cs="CESI仿宋-GB2312"/>
          <w:bCs/>
          <w:sz w:val="32"/>
          <w:szCs w:val="32"/>
        </w:rPr>
        <w:t>5</w:t>
      </w:r>
      <w:r>
        <w:rPr>
          <w:rFonts w:hint="eastAsia" w:ascii="CESI仿宋-GB2312" w:hAnsi="CESI仿宋-GB2312" w:eastAsia="CESI仿宋-GB2312" w:cs="CESI仿宋-GB2312"/>
          <w:bCs/>
          <w:sz w:val="32"/>
          <w:szCs w:val="32"/>
        </w:rPr>
        <w:t>月，以国家、省、市、区上位及相关规划为指导，结合宝安区文物管理工作实际，形成《规划》成果初稿。</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（四）征询意见阶段。</w:t>
      </w:r>
      <w:r>
        <w:rPr>
          <w:rFonts w:hint="eastAsia" w:ascii="CESI仿宋-GB2312" w:hAnsi="CESI仿宋-GB2312" w:eastAsia="CESI仿宋-GB2312" w:cs="CESI仿宋-GB2312"/>
          <w:bCs/>
          <w:sz w:val="32"/>
          <w:szCs w:val="32"/>
        </w:rPr>
        <w:t>2023年</w:t>
      </w:r>
      <w:r>
        <w:rPr>
          <w:rFonts w:ascii="CESI仿宋-GB2312" w:hAnsi="CESI仿宋-GB2312" w:eastAsia="CESI仿宋-GB2312" w:cs="CESI仿宋-GB2312"/>
          <w:bCs/>
          <w:sz w:val="32"/>
          <w:szCs w:val="32"/>
        </w:rPr>
        <w:t>6</w:t>
      </w:r>
      <w:r>
        <w:rPr>
          <w:rFonts w:hint="eastAsia" w:ascii="CESI仿宋-GB2312" w:hAnsi="CESI仿宋-GB2312" w:eastAsia="CESI仿宋-GB2312" w:cs="CESI仿宋-GB2312"/>
          <w:bCs/>
          <w:sz w:val="32"/>
          <w:szCs w:val="32"/>
        </w:rPr>
        <w:t>月，开展有关单位意征求意见，根据各部门反馈意见，修改完善初步成果。</w:t>
      </w:r>
    </w:p>
    <w:p>
      <w:pPr>
        <w:pStyle w:val="38"/>
        <w:spacing w:line="560" w:lineRule="exact"/>
        <w:ind w:firstLine="640"/>
        <w:rPr>
          <w:rFonts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（五）专家评审阶段。</w:t>
      </w:r>
      <w:r>
        <w:rPr>
          <w:rFonts w:hint="eastAsia" w:ascii="CESI仿宋-GB2312" w:hAnsi="CESI仿宋-GB2312" w:eastAsia="CESI仿宋-GB2312" w:cs="CESI仿宋-GB2312"/>
          <w:bCs/>
          <w:sz w:val="32"/>
          <w:szCs w:val="32"/>
        </w:rPr>
        <w:t>2023年</w:t>
      </w:r>
      <w:r>
        <w:rPr>
          <w:rFonts w:ascii="CESI仿宋-GB2312" w:hAnsi="CESI仿宋-GB2312" w:eastAsia="CESI仿宋-GB2312" w:cs="CESI仿宋-GB2312"/>
          <w:bCs/>
          <w:sz w:val="32"/>
          <w:szCs w:val="32"/>
        </w:rPr>
        <w:t>8</w:t>
      </w:r>
      <w:r>
        <w:rPr>
          <w:rFonts w:hint="eastAsia" w:ascii="CESI仿宋-GB2312" w:hAnsi="CESI仿宋-GB2312" w:eastAsia="CESI仿宋-GB2312" w:cs="CESI仿宋-GB2312"/>
          <w:bCs/>
          <w:sz w:val="32"/>
          <w:szCs w:val="32"/>
        </w:rPr>
        <w:t>月、1</w:t>
      </w:r>
      <w:r>
        <w:rPr>
          <w:rFonts w:ascii="CESI仿宋-GB2312" w:hAnsi="CESI仿宋-GB2312" w:eastAsia="CESI仿宋-GB2312" w:cs="CESI仿宋-GB2312"/>
          <w:bCs/>
          <w:sz w:val="32"/>
          <w:szCs w:val="32"/>
        </w:rPr>
        <w:t>0月</w:t>
      </w:r>
      <w:r>
        <w:rPr>
          <w:rFonts w:hint="eastAsia" w:ascii="CESI仿宋-GB2312" w:hAnsi="CESI仿宋-GB2312" w:eastAsia="CESI仿宋-GB2312" w:cs="CESI仿宋-GB2312"/>
          <w:bCs/>
          <w:sz w:val="32"/>
          <w:szCs w:val="32"/>
        </w:rPr>
        <w:t>，两次组织召开专家评审会，并于第二次通过了专家评审，专家一致认为该规划总体可行。</w:t>
      </w:r>
    </w:p>
    <w:p>
      <w:pPr>
        <w:pStyle w:val="38"/>
        <w:spacing w:line="560" w:lineRule="exact"/>
        <w:ind w:firstLine="640"/>
        <w:rPr>
          <w:rFonts w:hint="eastAsia" w:ascii="CESI仿宋-GB2312" w:hAnsi="CESI仿宋-GB2312" w:eastAsia="CESI仿宋-GB2312" w:cs="CESI仿宋-GB2312"/>
          <w:bCs/>
          <w:sz w:val="32"/>
          <w:szCs w:val="32"/>
        </w:rPr>
      </w:pPr>
      <w:r>
        <w:rPr>
          <w:rFonts w:hint="eastAsia" w:ascii="CESI楷体-GB2312" w:hAnsi="CESI楷体-GB2312" w:eastAsia="CESI楷体-GB2312" w:cs="CESI楷体-GB2312"/>
          <w:b/>
          <w:sz w:val="32"/>
          <w:szCs w:val="32"/>
        </w:rPr>
        <w:t>（六）再次征求意见阶段。</w:t>
      </w:r>
      <w:r>
        <w:rPr>
          <w:rFonts w:hint="eastAsia" w:ascii="CESI仿宋-GB2312" w:hAnsi="CESI仿宋-GB2312" w:eastAsia="CESI仿宋-GB2312" w:cs="CESI仿宋-GB2312"/>
          <w:bCs/>
          <w:sz w:val="32"/>
          <w:szCs w:val="32"/>
        </w:rPr>
        <w:t>202</w:t>
      </w:r>
      <w:r>
        <w:rPr>
          <w:rFonts w:ascii="CESI仿宋-GB2312" w:hAnsi="CESI仿宋-GB2312" w:eastAsia="CESI仿宋-GB2312" w:cs="CESI仿宋-GB2312"/>
          <w:bCs/>
          <w:sz w:val="32"/>
          <w:szCs w:val="32"/>
        </w:rPr>
        <w:t>3</w:t>
      </w:r>
      <w:r>
        <w:rPr>
          <w:rFonts w:hint="eastAsia" w:ascii="CESI仿宋-GB2312" w:hAnsi="CESI仿宋-GB2312" w:eastAsia="CESI仿宋-GB2312" w:cs="CESI仿宋-GB2312"/>
          <w:bCs/>
          <w:sz w:val="32"/>
          <w:szCs w:val="32"/>
        </w:rPr>
        <w:t>年</w:t>
      </w:r>
      <w:r>
        <w:rPr>
          <w:rFonts w:ascii="CESI仿宋-GB2312" w:hAnsi="CESI仿宋-GB2312" w:eastAsia="CESI仿宋-GB2312" w:cs="CESI仿宋-GB2312"/>
          <w:bCs/>
          <w:sz w:val="32"/>
          <w:szCs w:val="32"/>
        </w:rPr>
        <w:t>10</w:t>
      </w:r>
      <w:r>
        <w:rPr>
          <w:rFonts w:hint="eastAsia" w:ascii="CESI仿宋-GB2312" w:hAnsi="CESI仿宋-GB2312" w:eastAsia="CESI仿宋-GB2312" w:cs="CESI仿宋-GB2312"/>
          <w:bCs/>
          <w:sz w:val="32"/>
          <w:szCs w:val="32"/>
        </w:rPr>
        <w:t>月-</w:t>
      </w:r>
      <w:r>
        <w:rPr>
          <w:rFonts w:ascii="CESI仿宋-GB2312" w:hAnsi="CESI仿宋-GB2312" w:eastAsia="CESI仿宋-GB2312" w:cs="CESI仿宋-GB2312"/>
          <w:bCs/>
          <w:sz w:val="32"/>
          <w:szCs w:val="32"/>
        </w:rPr>
        <w:t>2024年</w:t>
      </w:r>
      <w:r>
        <w:rPr>
          <w:rFonts w:hint="eastAsia" w:ascii="CESI仿宋-GB2312" w:hAnsi="CESI仿宋-GB2312" w:eastAsia="CESI仿宋-GB2312" w:cs="CESI仿宋-GB2312"/>
          <w:bCs/>
          <w:sz w:val="32"/>
          <w:szCs w:val="32"/>
        </w:rPr>
        <w:t>1</w:t>
      </w:r>
      <w:r>
        <w:rPr>
          <w:rFonts w:ascii="CESI仿宋-GB2312" w:hAnsi="CESI仿宋-GB2312" w:eastAsia="CESI仿宋-GB2312" w:cs="CESI仿宋-GB2312"/>
          <w:bCs/>
          <w:sz w:val="32"/>
          <w:szCs w:val="32"/>
        </w:rPr>
        <w:t>0月</w:t>
      </w:r>
      <w:r>
        <w:rPr>
          <w:rFonts w:hint="eastAsia" w:ascii="CESI仿宋-GB2312" w:hAnsi="CESI仿宋-GB2312" w:eastAsia="CESI仿宋-GB2312" w:cs="CESI仿宋-GB2312"/>
          <w:bCs/>
          <w:sz w:val="32"/>
          <w:szCs w:val="32"/>
        </w:rPr>
        <w:t>，结合专家审核意见，并经多次汇报，对文本修改完善后形成《规划》（征求意见稿）。</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四、编制思路</w:t>
      </w:r>
    </w:p>
    <w:p>
      <w:pPr>
        <w:pStyle w:val="38"/>
        <w:spacing w:line="560" w:lineRule="exact"/>
        <w:ind w:firstLine="64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以凤凰社区古建筑群的价值研究和要素辨认为前提，明确规划的时空范围，依据完整保护的要求设计保护对象的保护区划层级、划定各区边界，制定管理规定；针对综合现状评估结论的主要问题，分别制定保护、利用、管理、研究等规划的重点措施与分期实施计划。</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五、规划主要内容</w:t>
      </w:r>
    </w:p>
    <w:p>
      <w:pPr>
        <w:pStyle w:val="38"/>
        <w:spacing w:line="560" w:lineRule="exact"/>
        <w:ind w:firstLine="640"/>
        <w:rPr>
          <w:rFonts w:ascii="CESI楷体-GB2312" w:hAnsi="CESI楷体-GB2312" w:eastAsia="CESI楷体-GB2312" w:cs="CESI楷体-GB2312"/>
          <w:b/>
          <w:sz w:val="32"/>
          <w:szCs w:val="32"/>
        </w:rPr>
      </w:pPr>
      <w:r>
        <w:rPr>
          <w:rFonts w:hint="eastAsia" w:ascii="CESI楷体-GB2312" w:hAnsi="CESI楷体-GB2312" w:eastAsia="CESI楷体-GB2312" w:cs="CESI楷体-GB2312"/>
          <w:b/>
          <w:sz w:val="32"/>
          <w:szCs w:val="32"/>
        </w:rPr>
        <w:t>（一）规划目标</w:t>
      </w:r>
    </w:p>
    <w:p>
      <w:pPr>
        <w:pStyle w:val="38"/>
        <w:spacing w:line="560" w:lineRule="exact"/>
        <w:ind w:firstLine="640"/>
        <w:rPr>
          <w:rFonts w:ascii="CESI仿宋-GB2312" w:hAnsi="CESI仿宋-GB2312" w:eastAsia="CESI仿宋-GB2312" w:cs="CESI仿宋-GB2312"/>
          <w:bCs/>
          <w:sz w:val="32"/>
          <w:szCs w:val="32"/>
        </w:rPr>
      </w:pPr>
      <w:r>
        <w:rPr>
          <w:rFonts w:hint="eastAsia" w:ascii="CESI仿宋-GB2312" w:hAnsi="CESI仿宋-GB2312" w:eastAsia="CESI仿宋-GB2312" w:cs="CESI仿宋-GB2312"/>
          <w:bCs/>
          <w:sz w:val="32"/>
          <w:szCs w:val="32"/>
        </w:rPr>
        <w:t>必须坚持“保护为主、抢救第一、合理利用、加强管理”的文物工作方针，正确处理文物保护与经济建设的关系，文物保护与合理利用的关系，促进文物事业的可持续发展，使凤凰社区古建筑群的文物本体及其环境得到有效保护。</w:t>
      </w:r>
    </w:p>
    <w:p>
      <w:pPr>
        <w:pStyle w:val="38"/>
        <w:spacing w:line="560" w:lineRule="exact"/>
        <w:ind w:firstLine="64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1.</w:t>
      </w:r>
      <w:r>
        <w:rPr>
          <w:rFonts w:ascii="CESI仿宋-GB2312" w:hAnsi="CESI仿宋-GB2312" w:eastAsia="CESI仿宋-GB2312" w:cs="CESI仿宋-GB2312"/>
          <w:bCs/>
          <w:sz w:val="32"/>
          <w:szCs w:val="32"/>
        </w:rPr>
        <w:t>做好前期调研和评估工作，充分研究文物价值、明确文物本体的组成要素，分析历史环境的整体格局，依据评估结论，制定具有针对性的保护、管理、利用与研究措施，提高规划的科学性、前瞻性和可操作性。</w:t>
      </w:r>
    </w:p>
    <w:p>
      <w:pPr>
        <w:pStyle w:val="38"/>
        <w:spacing w:line="560" w:lineRule="exact"/>
        <w:ind w:firstLine="64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2.</w:t>
      </w:r>
      <w:r>
        <w:rPr>
          <w:rFonts w:ascii="CESI仿宋-GB2312" w:hAnsi="CESI仿宋-GB2312" w:eastAsia="CESI仿宋-GB2312" w:cs="CESI仿宋-GB2312"/>
          <w:bCs/>
          <w:sz w:val="32"/>
          <w:szCs w:val="32"/>
        </w:rPr>
        <w:t>尽可能减少对文物本体的干预，确保文物本体的真实性；注重文物环境的保护和改善，确保文物本体及其环境的完整性。</w:t>
      </w:r>
    </w:p>
    <w:p>
      <w:pPr>
        <w:pStyle w:val="38"/>
        <w:spacing w:line="560" w:lineRule="exact"/>
        <w:ind w:firstLine="640"/>
        <w:rPr>
          <w:rFonts w:ascii="CESI仿宋-GB2312" w:hAnsi="CESI仿宋-GB2312" w:eastAsia="CESI仿宋-GB2312" w:cs="CESI仿宋-GB2312"/>
          <w:bCs/>
          <w:sz w:val="32"/>
          <w:szCs w:val="32"/>
        </w:rPr>
      </w:pPr>
      <w:r>
        <w:rPr>
          <w:rFonts w:hint="default" w:ascii="CESI仿宋-GB2312" w:hAnsi="CESI仿宋-GB2312" w:eastAsia="CESI仿宋-GB2312" w:cs="CESI仿宋-GB2312"/>
          <w:bCs/>
          <w:sz w:val="32"/>
          <w:szCs w:val="32"/>
        </w:rPr>
        <w:t>3.</w:t>
      </w:r>
      <w:r>
        <w:rPr>
          <w:rFonts w:ascii="CESI仿宋-GB2312" w:hAnsi="CESI仿宋-GB2312" w:eastAsia="CESI仿宋-GB2312" w:cs="CESI仿宋-GB2312"/>
          <w:bCs/>
          <w:sz w:val="32"/>
          <w:szCs w:val="32"/>
        </w:rPr>
        <w:t>以整体保护、和谐发展为规划目标，编制重点应立足目标导向和问题导向，坚持科学、适度、持续、合理利用，统筹协调文物保护与地方经济发展的关系，构建中长期保护管理制度保障</w:t>
      </w:r>
      <w:r>
        <w:rPr>
          <w:rFonts w:hint="eastAsia" w:ascii="CESI仿宋-GB2312" w:hAnsi="CESI仿宋-GB2312" w:eastAsia="CESI仿宋-GB2312" w:cs="CESI仿宋-GB2312"/>
          <w:bCs/>
          <w:sz w:val="32"/>
          <w:szCs w:val="32"/>
        </w:rPr>
        <w:t>。</w:t>
      </w:r>
    </w:p>
    <w:p>
      <w:pPr>
        <w:pStyle w:val="38"/>
        <w:spacing w:line="560" w:lineRule="exact"/>
        <w:ind w:firstLine="640"/>
        <w:rPr>
          <w:rFonts w:ascii="CESI楷体-GB2312" w:hAnsi="CESI楷体-GB2312" w:eastAsia="CESI楷体-GB2312" w:cs="CESI楷体-GB2312"/>
          <w:b/>
          <w:sz w:val="32"/>
          <w:szCs w:val="32"/>
        </w:rPr>
      </w:pPr>
      <w:r>
        <w:rPr>
          <w:rFonts w:hint="eastAsia" w:ascii="CESI楷体-GB2312" w:hAnsi="CESI楷体-GB2312" w:eastAsia="CESI楷体-GB2312" w:cs="CESI楷体-GB2312"/>
          <w:b/>
          <w:sz w:val="32"/>
          <w:szCs w:val="32"/>
        </w:rPr>
        <w:t>（二）规划任务</w:t>
      </w:r>
    </w:p>
    <w:p>
      <w:pPr>
        <w:pStyle w:val="38"/>
        <w:spacing w:line="560" w:lineRule="exact"/>
        <w:ind w:firstLine="640"/>
        <w:rPr>
          <w:rFonts w:ascii="CESI仿宋-GB2312" w:hAnsi="CESI仿宋-GB2312" w:eastAsia="CESI仿宋-GB2312" w:cs="CESI仿宋-GB2312"/>
          <w:b/>
          <w:sz w:val="32"/>
          <w:szCs w:val="32"/>
        </w:rPr>
      </w:pPr>
      <w:r>
        <w:rPr>
          <w:rFonts w:hint="eastAsia" w:ascii="CESI仿宋-GB2312" w:hAnsi="CESI仿宋-GB2312" w:eastAsia="CESI仿宋-GB2312" w:cs="CESI仿宋-GB2312"/>
          <w:b/>
          <w:sz w:val="32"/>
          <w:szCs w:val="32"/>
        </w:rPr>
        <w:t>1.</w:t>
      </w:r>
      <w:r>
        <w:rPr>
          <w:rFonts w:ascii="CESI仿宋-GB2312" w:hAnsi="CESI仿宋-GB2312" w:eastAsia="CESI仿宋-GB2312" w:cs="CESI仿宋-GB2312"/>
          <w:b/>
          <w:sz w:val="32"/>
          <w:szCs w:val="32"/>
        </w:rPr>
        <w:t xml:space="preserve"> </w:t>
      </w:r>
      <w:r>
        <w:rPr>
          <w:rFonts w:hint="eastAsia" w:ascii="CESI仿宋-GB2312" w:hAnsi="CESI仿宋-GB2312" w:eastAsia="CESI仿宋-GB2312" w:cs="CESI仿宋-GB2312"/>
          <w:b/>
          <w:sz w:val="32"/>
          <w:szCs w:val="32"/>
          <w:lang w:val="sq-AL"/>
        </w:rPr>
        <w:t>基础资料收集</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对文物保护单位的历史沿革、现存状况、保护和管理状况、考古工作状况以及研究的历史和成果等进行深入的调查分析，对文物所在地的地理</w:t>
      </w:r>
      <w:r>
        <w:rPr>
          <w:rFonts w:ascii="CESI仿宋-GB2312" w:hAnsi="CESI仿宋-GB2312" w:eastAsia="CESI仿宋-GB2312" w:cs="CESI仿宋-GB2312"/>
          <w:sz w:val="32"/>
          <w:szCs w:val="32"/>
        </w:rPr>
        <w:t>-文化特征、自然与生态环境、社会和经济发展状况等进行普遍的了解，取得准确的、充分的基础资料。</w:t>
      </w:r>
    </w:p>
    <w:p>
      <w:pPr>
        <w:pStyle w:val="38"/>
        <w:spacing w:line="560" w:lineRule="exact"/>
        <w:ind w:firstLine="640"/>
        <w:rPr>
          <w:rFonts w:ascii="CESI仿宋-GB2312" w:hAnsi="CESI仿宋-GB2312" w:eastAsia="CESI仿宋-GB2312" w:cs="CESI仿宋-GB2312"/>
          <w:b/>
          <w:sz w:val="32"/>
          <w:szCs w:val="32"/>
        </w:rPr>
      </w:pPr>
      <w:r>
        <w:rPr>
          <w:rFonts w:hint="eastAsia" w:ascii="CESI楷体-GB2312" w:hAnsi="CESI楷体-GB2312" w:eastAsia="CESI楷体-GB2312" w:cs="CESI楷体-GB2312"/>
          <w:b/>
          <w:bCs/>
          <w:sz w:val="32"/>
          <w:szCs w:val="32"/>
        </w:rPr>
        <w:t>2.</w:t>
      </w:r>
      <w:r>
        <w:rPr>
          <w:rFonts w:hint="eastAsia" w:ascii="CESI仿宋-GB2312" w:hAnsi="CESI仿宋-GB2312" w:eastAsia="CESI仿宋-GB2312" w:cs="CESI仿宋-GB2312"/>
          <w:b/>
          <w:sz w:val="32"/>
          <w:szCs w:val="32"/>
        </w:rPr>
        <w:t xml:space="preserve"> </w:t>
      </w:r>
      <w:r>
        <w:rPr>
          <w:rFonts w:hint="eastAsia" w:ascii="CESI仿宋-GB2312" w:hAnsi="CESI仿宋-GB2312" w:eastAsia="CESI仿宋-GB2312" w:cs="CESI仿宋-GB2312"/>
          <w:b/>
          <w:sz w:val="32"/>
          <w:szCs w:val="32"/>
          <w:lang w:val="sq-AL"/>
        </w:rPr>
        <w:t>保护对象与价值研究</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（1）保护对象。</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保护规划的保护对象应依据文物的历史、艺术、科学价值及其类型特征进行辨认，内容包括各种文物价值的组成要素，含文物本体、文物环境，以及各构成要素间的关联和其他相关要素。</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（2）价值研究。</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价值研究是保护规划编制的重要环节。系统梳理文物保护单位的基础资料，研究文物价值；依据价值载体的完整性分析构成要素，明确保护对象，厘定遗存清单；评估其在当地社会发展中的文化资源地位与重要性。</w:t>
      </w:r>
    </w:p>
    <w:p>
      <w:pPr>
        <w:pStyle w:val="38"/>
        <w:spacing w:line="560" w:lineRule="exact"/>
        <w:ind w:firstLine="640"/>
        <w:rPr>
          <w:rFonts w:ascii="CESI仿宋-GB2312" w:hAnsi="CESI仿宋-GB2312" w:eastAsia="CESI仿宋-GB2312" w:cs="CESI仿宋-GB2312"/>
          <w:b/>
          <w:sz w:val="32"/>
          <w:szCs w:val="32"/>
          <w:lang w:val="sq-AL"/>
        </w:rPr>
      </w:pPr>
      <w:r>
        <w:rPr>
          <w:rFonts w:ascii="CESI楷体-GB2312" w:hAnsi="CESI楷体-GB2312" w:eastAsia="CESI楷体-GB2312" w:cs="CESI楷体-GB2312"/>
          <w:b/>
          <w:bCs/>
          <w:sz w:val="32"/>
          <w:szCs w:val="32"/>
        </w:rPr>
        <w:t>3</w:t>
      </w:r>
      <w:r>
        <w:rPr>
          <w:rFonts w:hint="eastAsia" w:ascii="CESI楷体-GB2312" w:hAnsi="CESI楷体-GB2312" w:eastAsia="CESI楷体-GB2312" w:cs="CESI楷体-GB2312"/>
          <w:b/>
          <w:bCs/>
          <w:sz w:val="32"/>
          <w:szCs w:val="32"/>
        </w:rPr>
        <w:t>.</w:t>
      </w:r>
      <w:r>
        <w:rPr>
          <w:rFonts w:ascii="CESI仿宋-GB2312" w:hAnsi="CESI仿宋-GB2312" w:eastAsia="CESI仿宋-GB2312" w:cs="CESI仿宋-GB2312"/>
          <w:b/>
          <w:sz w:val="32"/>
          <w:szCs w:val="32"/>
          <w:lang w:val="sq-AL"/>
        </w:rPr>
        <w:t>保护区划与管理规定</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（1）保护区划。</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根据确保文物保护单位安全性、完整性的要求调整保护范围，并根据保证相关环境的完整性、和谐性的要求调整建设控制地带。同时论证原有区划管控效果分析、提出调整原因与必要性。</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（2）管理规定。</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保护区划的管理规定依据《中华人民共和国文物保护法》《中华人民共和国城乡规划法》以及相关法律法规和技术规范，结合文物保护单位的实际情况制定。</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对涉及城镇建设用地的建设控制地带和环境控制区提出详细的建设控制要求，包括建筑物的体量、高度、色彩、造型等，以及建筑密度、适建项目等要求。</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明确地下文物埋藏区的管理规定，提出地下文物遗存的保护管理要求，以及考古调查、勘探发掘优先程序规定。</w:t>
      </w:r>
    </w:p>
    <w:p>
      <w:pPr>
        <w:pStyle w:val="38"/>
        <w:spacing w:line="560" w:lineRule="exact"/>
        <w:ind w:firstLine="640"/>
        <w:rPr>
          <w:rFonts w:ascii="CESI仿宋-GB2312" w:hAnsi="CESI仿宋-GB2312" w:eastAsia="CESI仿宋-GB2312" w:cs="CESI仿宋-GB2312"/>
          <w:b/>
          <w:sz w:val="32"/>
          <w:szCs w:val="32"/>
          <w:lang w:val="sq-AL"/>
        </w:rPr>
      </w:pPr>
      <w:r>
        <w:rPr>
          <w:rFonts w:ascii="CESI楷体-GB2312" w:hAnsi="CESI楷体-GB2312" w:eastAsia="CESI楷体-GB2312" w:cs="CESI楷体-GB2312"/>
          <w:b/>
          <w:bCs/>
          <w:sz w:val="32"/>
          <w:szCs w:val="32"/>
        </w:rPr>
        <w:t>4</w:t>
      </w:r>
      <w:r>
        <w:rPr>
          <w:rFonts w:hint="eastAsia" w:ascii="CESI楷体-GB2312" w:hAnsi="CESI楷体-GB2312" w:eastAsia="CESI楷体-GB2312" w:cs="CESI楷体-GB2312"/>
          <w:b/>
          <w:bCs/>
          <w:sz w:val="32"/>
          <w:szCs w:val="32"/>
        </w:rPr>
        <w:t>.</w:t>
      </w:r>
      <w:r>
        <w:rPr>
          <w:rFonts w:hint="eastAsia" w:ascii="CESI仿宋-GB2312" w:hAnsi="CESI仿宋-GB2312" w:eastAsia="CESI仿宋-GB2312" w:cs="CESI仿宋-GB2312"/>
          <w:b/>
          <w:sz w:val="32"/>
          <w:szCs w:val="32"/>
          <w:lang w:val="sq-AL"/>
        </w:rPr>
        <w:t>制定</w:t>
      </w:r>
      <w:r>
        <w:rPr>
          <w:rFonts w:ascii="CESI仿宋-GB2312" w:hAnsi="CESI仿宋-GB2312" w:eastAsia="CESI仿宋-GB2312" w:cs="CESI仿宋-GB2312"/>
          <w:b/>
          <w:sz w:val="32"/>
          <w:szCs w:val="32"/>
          <w:lang w:val="sq-AL"/>
        </w:rPr>
        <w:t>保护措施</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根据文物保护单位的价值与现状评估，针对现存问题和影响因素，结合保护目标，制定保护措施。保护措施的制定要以各项评估为依据，区分保护力度，划分措施等级。《规划》划定文物保护范围、建设控制地带，并提出相应的管理规定和保护措施；对文物保护范围、建设控制地带内的建筑进行分类保护与整治。同时结合历史风貌区保护规划，与历史风貌区保护规划做好保护界线、管理规定及建筑保护整治措施的衔接。</w:t>
      </w:r>
    </w:p>
    <w:p>
      <w:pPr>
        <w:pStyle w:val="38"/>
        <w:spacing w:line="560" w:lineRule="exact"/>
        <w:ind w:firstLine="640"/>
        <w:rPr>
          <w:rFonts w:ascii="CESI仿宋-GB2312" w:hAnsi="CESI仿宋-GB2312" w:eastAsia="CESI仿宋-GB2312" w:cs="CESI仿宋-GB2312"/>
          <w:b/>
          <w:sz w:val="32"/>
          <w:szCs w:val="32"/>
        </w:rPr>
      </w:pPr>
      <w:r>
        <w:rPr>
          <w:rFonts w:hint="eastAsia" w:ascii="CESI仿宋-GB2312" w:hAnsi="CESI仿宋-GB2312" w:eastAsia="CESI仿宋-GB2312" w:cs="CESI仿宋-GB2312"/>
          <w:b/>
          <w:sz w:val="32"/>
          <w:szCs w:val="32"/>
          <w:lang w:val="sq-AL"/>
        </w:rPr>
        <w:t>5</w:t>
      </w:r>
      <w:r>
        <w:rPr>
          <w:rFonts w:ascii="CESI仿宋-GB2312" w:hAnsi="CESI仿宋-GB2312" w:eastAsia="CESI仿宋-GB2312" w:cs="CESI仿宋-GB2312"/>
          <w:b/>
          <w:sz w:val="32"/>
          <w:szCs w:val="32"/>
          <w:lang w:val="sq-AL"/>
        </w:rPr>
        <w:t>.专项规划</w:t>
      </w:r>
    </w:p>
    <w:p>
      <w:pPr>
        <w:spacing w:line="560" w:lineRule="exact"/>
        <w:ind w:firstLine="640" w:firstLineChars="20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（1）</w:t>
      </w:r>
      <w:r>
        <w:rPr>
          <w:rFonts w:ascii="CESI仿宋-GB2312" w:hAnsi="CESI仿宋-GB2312" w:eastAsia="CESI仿宋-GB2312" w:cs="CESI仿宋-GB2312"/>
          <w:sz w:val="32"/>
          <w:szCs w:val="32"/>
        </w:rPr>
        <w:t>环境规划</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《规划》明确了环境治理和保护要求、生态保护要求等，同时对景观修复、基础设施规划、道路交通设施规划以及防灾规划等提出要求及建议。</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2</w:t>
      </w: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管理规划</w:t>
      </w:r>
    </w:p>
    <w:p>
      <w:pPr>
        <w:pStyle w:val="38"/>
        <w:spacing w:line="560" w:lineRule="exact"/>
        <w:ind w:firstLine="640"/>
        <w:rPr>
          <w:rFonts w:ascii="CESI仿宋-GB2312" w:hAnsi="CESI仿宋-GB2312" w:eastAsia="CESI仿宋-GB2312" w:cs="CESI仿宋-GB2312"/>
          <w:sz w:val="32"/>
          <w:szCs w:val="32"/>
        </w:rPr>
      </w:pPr>
      <w:r>
        <w:rPr>
          <w:rFonts w:ascii="CESI仿宋-GB2312" w:hAnsi="CESI仿宋-GB2312" w:eastAsia="CESI仿宋-GB2312" w:cs="CESI仿宋-GB2312"/>
          <w:sz w:val="32"/>
          <w:szCs w:val="32"/>
        </w:rPr>
        <w:t>落实“四有”工作，提出管理机构、经费与人员编制以及管理规章制度的完善要求；提出管理机构的责权范围，确定日常维护、防灾减灾和监测要求等工作内容；制定员工培训和队伍建设计划；提出社区公众参与和青少年教育计划。</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3</w:t>
      </w:r>
      <w:r>
        <w:rPr>
          <w:rFonts w:hint="eastAsia" w:ascii="CESI仿宋-GB2312" w:hAnsi="CESI仿宋-GB2312" w:eastAsia="CESI仿宋-GB2312" w:cs="CESI仿宋-GB2312"/>
          <w:sz w:val="32"/>
          <w:szCs w:val="32"/>
        </w:rPr>
        <w:t>）展示与利用规划</w:t>
      </w:r>
    </w:p>
    <w:p>
      <w:pPr>
        <w:pStyle w:val="38"/>
        <w:spacing w:line="560" w:lineRule="exact"/>
        <w:ind w:firstLine="640"/>
        <w:rPr>
          <w:rFonts w:ascii="CESI仿宋-GB2312" w:hAnsi="CESI仿宋-GB2312" w:eastAsia="CESI仿宋-GB2312" w:cs="CESI仿宋-GB2312"/>
          <w:sz w:val="32"/>
          <w:szCs w:val="32"/>
        </w:rPr>
      </w:pPr>
      <w:r>
        <w:rPr>
          <w:rFonts w:ascii="CESI仿宋-GB2312" w:hAnsi="CESI仿宋-GB2312" w:eastAsia="CESI仿宋-GB2312" w:cs="CESI仿宋-GB2312"/>
          <w:sz w:val="32"/>
          <w:szCs w:val="32"/>
        </w:rPr>
        <w:t>依据保护要求确定利用原则、利用强度与方式；依据文物价值制定阐释体系，策划展示主题、划分利用功能分区，提出相关要求；组织展示路线，布置展示与服务设施；测算游客开放容量 和规定调控要求；规定利用与展示服务设施的建设规模与设计要求；策划公众或社区参与，提升文物价值传播效益；提出与周边文物或景观资源的整合利用措施。</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4</w:t>
      </w:r>
      <w:r>
        <w:rPr>
          <w:rFonts w:hint="eastAsia" w:ascii="CESI仿宋-GB2312" w:hAnsi="CESI仿宋-GB2312" w:eastAsia="CESI仿宋-GB2312" w:cs="CESI仿宋-GB2312"/>
          <w:sz w:val="32"/>
          <w:szCs w:val="32"/>
        </w:rPr>
        <w:t>）</w:t>
      </w:r>
      <w:r>
        <w:rPr>
          <w:rFonts w:ascii="CESI仿宋-GB2312" w:hAnsi="CESI仿宋-GB2312" w:eastAsia="CESI仿宋-GB2312" w:cs="CESI仿宋-GB2312"/>
          <w:sz w:val="32"/>
          <w:szCs w:val="32"/>
        </w:rPr>
        <w:t>研究规划</w:t>
      </w:r>
    </w:p>
    <w:p>
      <w:pPr>
        <w:pStyle w:val="38"/>
        <w:spacing w:line="560" w:lineRule="exact"/>
        <w:ind w:firstLine="640"/>
        <w:rPr>
          <w:rFonts w:ascii="CESI仿宋-GB2312" w:hAnsi="CESI仿宋-GB2312" w:eastAsia="CESI仿宋-GB2312" w:cs="CESI仿宋-GB2312"/>
          <w:sz w:val="32"/>
          <w:szCs w:val="32"/>
        </w:rPr>
      </w:pPr>
      <w:r>
        <w:rPr>
          <w:rFonts w:ascii="CESI仿宋-GB2312" w:hAnsi="CESI仿宋-GB2312" w:eastAsia="CESI仿宋-GB2312" w:cs="CESI仿宋-GB2312"/>
          <w:sz w:val="32"/>
          <w:szCs w:val="32"/>
        </w:rPr>
        <w:t>依据保护规划目标、结合实际情况，制定文物价值研究与保护措施专项研究工作的计划、原则与策略；针对价值研究和保护管理需求，制定文物基础数据的采集、整合与建库要求，包括相关设备与经费要求；文物的价值研究计划包括联合社会学术研究力量、围绕文物价值开展系统课题研究，以及深化文物利用和价值展示策略研究等内容。</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六、有关规划衔接情况说明</w:t>
      </w:r>
    </w:p>
    <w:p>
      <w:pPr>
        <w:pStyle w:val="38"/>
        <w:spacing w:line="560" w:lineRule="exact"/>
        <w:ind w:firstLine="640"/>
        <w:rPr>
          <w:rFonts w:ascii="CESI仿宋-GB2312" w:hAnsi="CESI仿宋-GB2312" w:eastAsia="CESI仿宋-GB2312" w:cs="CESI仿宋-GB2312"/>
          <w:sz w:val="32"/>
          <w:szCs w:val="32"/>
          <w:lang w:val="sq-AL"/>
        </w:rPr>
      </w:pPr>
      <w:r>
        <w:rPr>
          <w:rFonts w:hint="eastAsia" w:ascii="CESI仿宋-GB2312" w:hAnsi="CESI仿宋-GB2312" w:eastAsia="CESI仿宋-GB2312" w:cs="CESI仿宋-GB2312"/>
          <w:sz w:val="32"/>
          <w:szCs w:val="32"/>
          <w:lang w:val="sq-AL"/>
        </w:rPr>
        <w:t>在</w:t>
      </w:r>
      <w:r>
        <w:rPr>
          <w:rFonts w:hint="eastAsia" w:ascii="CESI仿宋-GB2312" w:hAnsi="CESI仿宋-GB2312" w:eastAsia="CESI仿宋-GB2312" w:cs="CESI仿宋-GB2312"/>
          <w:sz w:val="32"/>
          <w:szCs w:val="32"/>
        </w:rPr>
        <w:t>《中华人民共和国文物保护法》等一系列法律法规的指导下，</w:t>
      </w:r>
      <w:r>
        <w:rPr>
          <w:rFonts w:hint="eastAsia" w:ascii="CESI仿宋-GB2312" w:hAnsi="CESI仿宋-GB2312" w:eastAsia="CESI仿宋-GB2312" w:cs="CESI仿宋-GB2312"/>
          <w:sz w:val="32"/>
          <w:szCs w:val="32"/>
          <w:lang w:val="sq-AL"/>
        </w:rPr>
        <w:t>《规划》</w:t>
      </w:r>
      <w:r>
        <w:rPr>
          <w:rFonts w:hint="eastAsia" w:ascii="CESI仿宋-GB2312" w:hAnsi="CESI仿宋-GB2312" w:eastAsia="CESI仿宋-GB2312" w:cs="CESI仿宋-GB2312"/>
          <w:sz w:val="32"/>
          <w:szCs w:val="32"/>
        </w:rPr>
        <w:t>的</w:t>
      </w:r>
      <w:r>
        <w:rPr>
          <w:rFonts w:hint="eastAsia" w:ascii="CESI仿宋-GB2312" w:hAnsi="CESI仿宋-GB2312" w:eastAsia="CESI仿宋-GB2312" w:cs="CESI仿宋-GB2312"/>
          <w:sz w:val="32"/>
          <w:szCs w:val="32"/>
          <w:lang w:val="sq-AL"/>
        </w:rPr>
        <w:t>编制</w:t>
      </w:r>
      <w:r>
        <w:rPr>
          <w:rFonts w:hint="eastAsia" w:ascii="CESI仿宋-GB2312" w:hAnsi="CESI仿宋-GB2312" w:eastAsia="CESI仿宋-GB2312" w:cs="CESI仿宋-GB2312"/>
          <w:sz w:val="32"/>
          <w:szCs w:val="32"/>
        </w:rPr>
        <w:t>充分与国家、</w:t>
      </w:r>
      <w:r>
        <w:rPr>
          <w:rFonts w:hint="eastAsia" w:ascii="CESI仿宋-GB2312" w:hAnsi="CESI仿宋-GB2312" w:eastAsia="CESI仿宋-GB2312" w:cs="CESI仿宋-GB2312"/>
          <w:sz w:val="32"/>
          <w:szCs w:val="32"/>
          <w:lang w:val="sq-AL"/>
        </w:rPr>
        <w:t>省、市相关规划及计划进行衔接，具体包括：《广东省国土空间规划（</w:t>
      </w:r>
      <w:r>
        <w:rPr>
          <w:rFonts w:ascii="CESI仿宋-GB2312" w:hAnsi="CESI仿宋-GB2312" w:eastAsia="CESI仿宋-GB2312" w:cs="CESI仿宋-GB2312"/>
          <w:sz w:val="32"/>
          <w:szCs w:val="32"/>
          <w:lang w:val="sq-AL"/>
        </w:rPr>
        <w:t>2021-2035</w:t>
      </w:r>
      <w:r>
        <w:rPr>
          <w:rFonts w:hint="eastAsia" w:ascii="CESI仿宋-GB2312" w:hAnsi="CESI仿宋-GB2312" w:eastAsia="CESI仿宋-GB2312" w:cs="CESI仿宋-GB2312"/>
          <w:sz w:val="32"/>
          <w:szCs w:val="32"/>
          <w:lang w:val="sq-AL"/>
        </w:rPr>
        <w:t>年）》《深圳市国土空间总体规划（</w:t>
      </w:r>
      <w:r>
        <w:rPr>
          <w:rFonts w:ascii="CESI仿宋-GB2312" w:hAnsi="CESI仿宋-GB2312" w:eastAsia="CESI仿宋-GB2312" w:cs="CESI仿宋-GB2312"/>
          <w:sz w:val="32"/>
          <w:szCs w:val="32"/>
          <w:lang w:val="sq-AL"/>
        </w:rPr>
        <w:t>2020-2035</w:t>
      </w:r>
      <w:r>
        <w:rPr>
          <w:rFonts w:hint="eastAsia" w:ascii="CESI仿宋-GB2312" w:hAnsi="CESI仿宋-GB2312" w:eastAsia="CESI仿宋-GB2312" w:cs="CESI仿宋-GB2312"/>
          <w:sz w:val="32"/>
          <w:szCs w:val="32"/>
          <w:lang w:val="sq-AL"/>
        </w:rPr>
        <w:t>年）》《深圳市宝安区国土空间分区规划（</w:t>
      </w:r>
      <w:r>
        <w:rPr>
          <w:rFonts w:ascii="CESI仿宋-GB2312" w:hAnsi="CESI仿宋-GB2312" w:eastAsia="CESI仿宋-GB2312" w:cs="CESI仿宋-GB2312"/>
          <w:sz w:val="32"/>
          <w:szCs w:val="32"/>
          <w:lang w:val="sq-AL"/>
        </w:rPr>
        <w:t>2021-2035</w:t>
      </w:r>
      <w:r>
        <w:rPr>
          <w:rFonts w:hint="eastAsia" w:ascii="CESI仿宋-GB2312" w:hAnsi="CESI仿宋-GB2312" w:eastAsia="CESI仿宋-GB2312" w:cs="CESI仿宋-GB2312"/>
          <w:sz w:val="32"/>
          <w:szCs w:val="32"/>
          <w:lang w:val="sq-AL"/>
        </w:rPr>
        <w:t>年）》《广东省文化和旅游厅广东省自然资源厅广东省住房和城乡建设厅关于印发</w:t>
      </w:r>
      <w:r>
        <w:rPr>
          <w:rFonts w:ascii="CESI仿宋-GB2312" w:hAnsi="CESI仿宋-GB2312" w:eastAsia="CESI仿宋-GB2312" w:cs="CESI仿宋-GB2312"/>
          <w:sz w:val="32"/>
          <w:szCs w:val="32"/>
          <w:lang w:val="sq-AL"/>
        </w:rPr>
        <w:t>&lt;</w:t>
      </w:r>
      <w:r>
        <w:rPr>
          <w:rFonts w:hint="eastAsia" w:ascii="CESI仿宋-GB2312" w:hAnsi="CESI仿宋-GB2312" w:eastAsia="CESI仿宋-GB2312" w:cs="CESI仿宋-GB2312"/>
          <w:sz w:val="32"/>
          <w:szCs w:val="32"/>
          <w:lang w:val="sq-AL"/>
        </w:rPr>
        <w:t>广东省文物保护单位保护范围和建设控制地带划定办法</w:t>
      </w:r>
      <w:r>
        <w:rPr>
          <w:rFonts w:ascii="CESI仿宋-GB2312" w:hAnsi="CESI仿宋-GB2312" w:eastAsia="CESI仿宋-GB2312" w:cs="CESI仿宋-GB2312"/>
          <w:sz w:val="32"/>
          <w:szCs w:val="32"/>
          <w:lang w:val="sq-AL"/>
        </w:rPr>
        <w:t>&gt;</w:t>
      </w:r>
      <w:r>
        <w:rPr>
          <w:rFonts w:hint="eastAsia" w:ascii="CESI仿宋-GB2312" w:hAnsi="CESI仿宋-GB2312" w:eastAsia="CESI仿宋-GB2312" w:cs="CESI仿宋-GB2312"/>
          <w:sz w:val="32"/>
          <w:szCs w:val="32"/>
          <w:lang w:val="sq-AL"/>
        </w:rPr>
        <w:t>的通知》（粤文旅规〔</w:t>
      </w:r>
      <w:r>
        <w:rPr>
          <w:rFonts w:ascii="CESI仿宋-GB2312" w:hAnsi="CESI仿宋-GB2312" w:eastAsia="CESI仿宋-GB2312" w:cs="CESI仿宋-GB2312"/>
          <w:sz w:val="32"/>
          <w:szCs w:val="32"/>
          <w:lang w:val="sq-AL"/>
        </w:rPr>
        <w:t>2023</w:t>
      </w:r>
      <w:r>
        <w:rPr>
          <w:rFonts w:hint="eastAsia" w:ascii="CESI仿宋-GB2312" w:hAnsi="CESI仿宋-GB2312" w:eastAsia="CESI仿宋-GB2312" w:cs="CESI仿宋-GB2312"/>
          <w:sz w:val="32"/>
          <w:szCs w:val="32"/>
          <w:lang w:val="sq-AL"/>
        </w:rPr>
        <w:t>〕</w:t>
      </w:r>
      <w:r>
        <w:rPr>
          <w:rFonts w:ascii="CESI仿宋-GB2312" w:hAnsi="CESI仿宋-GB2312" w:eastAsia="CESI仿宋-GB2312" w:cs="CESI仿宋-GB2312"/>
          <w:sz w:val="32"/>
          <w:szCs w:val="32"/>
          <w:lang w:val="sq-AL"/>
        </w:rPr>
        <w:t xml:space="preserve">2 </w:t>
      </w:r>
      <w:r>
        <w:rPr>
          <w:rFonts w:hint="eastAsia" w:ascii="CESI仿宋-GB2312" w:hAnsi="CESI仿宋-GB2312" w:eastAsia="CESI仿宋-GB2312" w:cs="CESI仿宋-GB2312"/>
          <w:sz w:val="32"/>
          <w:szCs w:val="32"/>
          <w:lang w:val="sq-AL"/>
        </w:rPr>
        <w:t>号）</w:t>
      </w:r>
      <w:r>
        <w:rPr>
          <w:rFonts w:ascii="CESI仿宋-GB2312" w:hAnsi="CESI仿宋-GB2312" w:eastAsia="CESI仿宋-GB2312" w:cs="CESI仿宋-GB2312"/>
          <w:sz w:val="32"/>
          <w:szCs w:val="32"/>
          <w:lang w:val="sq-AL"/>
        </w:rPr>
        <w:t>、</w:t>
      </w:r>
      <w:r>
        <w:rPr>
          <w:rFonts w:hint="eastAsia" w:ascii="CESI仿宋-GB2312" w:hAnsi="CESI仿宋-GB2312" w:eastAsia="CESI仿宋-GB2312" w:cs="CESI仿宋-GB2312"/>
          <w:sz w:val="32"/>
          <w:szCs w:val="32"/>
          <w:lang w:val="sq-AL"/>
        </w:rPr>
        <w:t>《广东省文化和旅游厅广东省自然资源厅广东省住房和城乡建设厅关于印发</w:t>
      </w:r>
      <w:r>
        <w:rPr>
          <w:rFonts w:ascii="CESI仿宋-GB2312" w:hAnsi="CESI仿宋-GB2312" w:eastAsia="CESI仿宋-GB2312" w:cs="CESI仿宋-GB2312"/>
          <w:sz w:val="32"/>
          <w:szCs w:val="32"/>
          <w:lang w:val="sq-AL"/>
        </w:rPr>
        <w:t>&lt;</w:t>
      </w:r>
      <w:r>
        <w:rPr>
          <w:rFonts w:hint="eastAsia" w:ascii="CESI仿宋-GB2312" w:hAnsi="CESI仿宋-GB2312" w:eastAsia="CESI仿宋-GB2312" w:cs="CESI仿宋-GB2312"/>
          <w:sz w:val="32"/>
          <w:szCs w:val="32"/>
          <w:lang w:val="sq-AL"/>
        </w:rPr>
        <w:t>广东省文物保护单位保护规划编制工作指引</w:t>
      </w:r>
      <w:r>
        <w:rPr>
          <w:rFonts w:ascii="CESI仿宋-GB2312" w:hAnsi="CESI仿宋-GB2312" w:eastAsia="CESI仿宋-GB2312" w:cs="CESI仿宋-GB2312"/>
          <w:sz w:val="32"/>
          <w:szCs w:val="32"/>
          <w:lang w:val="sq-AL"/>
        </w:rPr>
        <w:t>&gt;</w:t>
      </w:r>
      <w:r>
        <w:rPr>
          <w:rFonts w:hint="eastAsia" w:ascii="CESI仿宋-GB2312" w:hAnsi="CESI仿宋-GB2312" w:eastAsia="CESI仿宋-GB2312" w:cs="CESI仿宋-GB2312"/>
          <w:sz w:val="32"/>
          <w:szCs w:val="32"/>
          <w:lang w:val="sq-AL"/>
        </w:rPr>
        <w:t>的通知》（</w:t>
      </w:r>
      <w:r>
        <w:rPr>
          <w:rFonts w:ascii="CESI仿宋-GB2312" w:hAnsi="CESI仿宋-GB2312" w:eastAsia="CESI仿宋-GB2312" w:cs="CESI仿宋-GB2312"/>
          <w:sz w:val="32"/>
          <w:szCs w:val="32"/>
          <w:lang w:val="sq-AL"/>
        </w:rPr>
        <w:t>2023</w:t>
      </w:r>
      <w:r>
        <w:rPr>
          <w:rFonts w:hint="eastAsia" w:ascii="CESI仿宋-GB2312" w:hAnsi="CESI仿宋-GB2312" w:eastAsia="CESI仿宋-GB2312" w:cs="CESI仿宋-GB2312"/>
          <w:sz w:val="32"/>
          <w:szCs w:val="32"/>
          <w:lang w:val="sq-AL"/>
        </w:rPr>
        <w:t>年）、《深圳市城市紫线规划（修编）》（公示稿）、《深圳市历史风貌区和历史建筑保护办法（试行）》（</w:t>
      </w:r>
      <w:r>
        <w:rPr>
          <w:rFonts w:ascii="CESI仿宋-GB2312" w:hAnsi="CESI仿宋-GB2312" w:eastAsia="CESI仿宋-GB2312" w:cs="CESI仿宋-GB2312"/>
          <w:sz w:val="32"/>
          <w:szCs w:val="32"/>
          <w:lang w:val="sq-AL"/>
        </w:rPr>
        <w:t>2020</w:t>
      </w:r>
      <w:r>
        <w:rPr>
          <w:rFonts w:hint="eastAsia" w:ascii="CESI仿宋-GB2312" w:hAnsi="CESI仿宋-GB2312" w:eastAsia="CESI仿宋-GB2312" w:cs="CESI仿宋-GB2312"/>
          <w:sz w:val="32"/>
          <w:szCs w:val="32"/>
          <w:lang w:val="sq-AL"/>
        </w:rPr>
        <w:t>）等。</w:t>
      </w:r>
    </w:p>
    <w:p>
      <w:pPr>
        <w:pStyle w:val="38"/>
        <w:spacing w:line="560" w:lineRule="exact"/>
        <w:ind w:firstLine="640"/>
        <w:rPr>
          <w:rFonts w:ascii="CESI仿宋-GB2312" w:hAnsi="CESI仿宋-GB2312" w:eastAsia="CESI仿宋-GB2312" w:cs="CESI仿宋-GB2312"/>
          <w:sz w:val="32"/>
          <w:szCs w:val="32"/>
        </w:rPr>
      </w:pPr>
      <w:r>
        <w:rPr>
          <w:rFonts w:hint="eastAsia" w:ascii="CESI仿宋-GB2312" w:hAnsi="CESI仿宋-GB2312" w:eastAsia="CESI仿宋-GB2312" w:cs="CESI仿宋-GB2312"/>
          <w:sz w:val="32"/>
          <w:szCs w:val="32"/>
          <w:lang w:val="sq-AL"/>
        </w:rPr>
        <w:t>《规划》</w:t>
      </w:r>
      <w:r>
        <w:rPr>
          <w:rFonts w:hint="eastAsia" w:ascii="CESI仿宋-GB2312" w:hAnsi="CESI仿宋-GB2312" w:eastAsia="CESI仿宋-GB2312" w:cs="CESI仿宋-GB2312"/>
          <w:sz w:val="32"/>
          <w:szCs w:val="32"/>
        </w:rPr>
        <w:t>紧密</w:t>
      </w:r>
      <w:r>
        <w:rPr>
          <w:rFonts w:hint="eastAsia" w:ascii="CESI仿宋-GB2312" w:hAnsi="CESI仿宋-GB2312" w:eastAsia="CESI仿宋-GB2312" w:cs="CESI仿宋-GB2312"/>
          <w:sz w:val="32"/>
          <w:szCs w:val="32"/>
          <w:lang w:val="sq-AL"/>
        </w:rPr>
        <w:t>结合</w:t>
      </w:r>
      <w:r>
        <w:rPr>
          <w:rFonts w:hint="eastAsia" w:ascii="CESI仿宋-GB2312" w:hAnsi="CESI仿宋-GB2312" w:eastAsia="CESI仿宋-GB2312" w:cs="CESI仿宋-GB2312"/>
          <w:sz w:val="32"/>
          <w:szCs w:val="32"/>
        </w:rPr>
        <w:t>宝安区当前的发展形势和实际需求，根据新时代文物工作方针：“保护第一、加强管理、挖掘价值、有效利用、让文物活起来”，统筹考虑凤凰社区古建筑群的保护现状、保护范围内外建设和建设控制地带内的发展需求，以及文物保护与利用展示的要求，进一步推动凤凰社区古建筑群的有效保护和合理利用。</w:t>
      </w:r>
    </w:p>
    <w:p>
      <w:pPr>
        <w:pStyle w:val="4"/>
        <w:spacing w:before="0" w:after="0" w:line="560" w:lineRule="exact"/>
        <w:ind w:firstLine="642" w:firstLineChars="200"/>
        <w:jc w:val="both"/>
        <w:rPr>
          <w:rFonts w:ascii="Times New Roman" w:hAnsi="Times New Roman" w:eastAsia="黑体"/>
          <w:lang w:val="sq-AL"/>
        </w:rPr>
      </w:pPr>
      <w:r>
        <w:rPr>
          <w:rFonts w:hint="eastAsia" w:ascii="Times New Roman" w:hAnsi="Times New Roman" w:eastAsia="黑体"/>
          <w:lang w:val="sq-AL"/>
        </w:rPr>
        <w:t>七、征询意见及采纳情况</w:t>
      </w:r>
    </w:p>
    <w:p>
      <w:pPr>
        <w:spacing w:line="560" w:lineRule="exact"/>
        <w:ind w:firstLine="640" w:firstLineChars="200"/>
        <w:rPr>
          <w:rFonts w:ascii="CESI仿宋-GB2312" w:hAnsi="CESI仿宋-GB2312" w:eastAsia="CESI仿宋-GB2312" w:cs="CESI仿宋-GB2312"/>
          <w:sz w:val="32"/>
          <w:szCs w:val="32"/>
          <w:lang w:val="sq-AL"/>
        </w:rPr>
      </w:pPr>
      <w:r>
        <w:rPr>
          <w:rFonts w:hint="eastAsia" w:ascii="CESI仿宋-GB2312" w:hAnsi="CESI仿宋-GB2312" w:eastAsia="CESI仿宋-GB2312" w:cs="CESI仿宋-GB2312"/>
          <w:sz w:val="32"/>
          <w:szCs w:val="32"/>
          <w:lang w:val="sq-AL"/>
        </w:rPr>
        <w:t>本《规划》于2023年</w:t>
      </w:r>
      <w:r>
        <w:rPr>
          <w:rFonts w:ascii="CESI仿宋-GB2312" w:hAnsi="CESI仿宋-GB2312" w:eastAsia="CESI仿宋-GB2312" w:cs="CESI仿宋-GB2312"/>
          <w:sz w:val="32"/>
          <w:szCs w:val="32"/>
          <w:lang w:val="sq-AL"/>
        </w:rPr>
        <w:t>6</w:t>
      </w:r>
      <w:r>
        <w:rPr>
          <w:rFonts w:hint="eastAsia" w:ascii="CESI仿宋-GB2312" w:hAnsi="CESI仿宋-GB2312" w:eastAsia="CESI仿宋-GB2312" w:cs="CESI仿宋-GB2312"/>
          <w:sz w:val="32"/>
          <w:szCs w:val="32"/>
          <w:lang w:val="sq-AL"/>
        </w:rPr>
        <w:t>月征求了市规划和自然资源局宝安管理局、区住房和建设局、区城市管理和综合执法局、区消防救援大队、区城市更新和土地整备局、区发展改革局、市交通运输局宝安管理局、市生态环境局宝安管理局、区水</w:t>
      </w:r>
      <w:bookmarkStart w:id="11" w:name="_GoBack"/>
      <w:r>
        <w:rPr>
          <w:rFonts w:hint="eastAsia" w:ascii="CESI仿宋-GB2312" w:hAnsi="CESI仿宋-GB2312" w:eastAsia="CESI仿宋-GB2312" w:cs="CESI仿宋-GB2312"/>
          <w:sz w:val="32"/>
          <w:szCs w:val="32"/>
          <w:lang w:val="sq-AL"/>
        </w:rPr>
        <w:t>务局、区司法局、区应急管理局、福永街道办事处的意见。其中</w:t>
      </w:r>
      <w:bookmarkEnd w:id="11"/>
      <w:r>
        <w:rPr>
          <w:rFonts w:hint="eastAsia" w:ascii="CESI仿宋-GB2312" w:hAnsi="CESI仿宋-GB2312" w:eastAsia="CESI仿宋-GB2312" w:cs="CESI仿宋-GB2312"/>
          <w:sz w:val="32"/>
          <w:szCs w:val="32"/>
          <w:lang w:val="sq-AL"/>
        </w:rPr>
        <w:t>7个部门无意见，其余5个部门共提出9条意见，采纳8条，解释1条。</w:t>
      </w:r>
    </w:p>
    <w:p>
      <w:pPr>
        <w:pStyle w:val="38"/>
        <w:spacing w:line="560" w:lineRule="exact"/>
        <w:ind w:firstLine="640"/>
        <w:rPr>
          <w:rFonts w:ascii="CESI仿宋-GB2312" w:hAnsi="CESI仿宋-GB2312" w:eastAsia="CESI仿宋-GB2312" w:cs="CESI仿宋-GB2312"/>
          <w:sz w:val="32"/>
          <w:szCs w:val="32"/>
          <w:lang w:val="sq-AL"/>
        </w:rPr>
      </w:pPr>
    </w:p>
    <w:sectPr>
      <w:footerReference r:id="rId4" w:type="default"/>
      <w:pgSz w:w="11906" w:h="16838"/>
      <w:pgMar w:top="1440" w:right="1361" w:bottom="1440" w:left="158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微软雅黑">
    <w:altName w:val="方正黑体_GBK"/>
    <w:panose1 w:val="020B0503020204020204"/>
    <w:charset w:val="86"/>
    <w:family w:val="swiss"/>
    <w:pitch w:val="default"/>
    <w:sig w:usb0="00000000" w:usb1="00000000" w:usb2="00000016" w:usb3="00000000" w:csb0="0004001F" w:csb1="00000000"/>
  </w:font>
  <w:font w:name="等线 Light">
    <w:altName w:val="华文仿宋"/>
    <w:panose1 w:val="02010600030101010101"/>
    <w:charset w:val="86"/>
    <w:family w:val="auto"/>
    <w:pitch w:val="default"/>
    <w:sig w:usb0="00000000" w:usb1="00000000" w:usb2="00000016" w:usb3="00000000" w:csb0="0004000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ESI楷体-GB2312">
    <w:panose1 w:val="02000500000000000000"/>
    <w:charset w:val="86"/>
    <w:family w:val="auto"/>
    <w:pitch w:val="default"/>
    <w:sig w:usb0="800002BF" w:usb1="184F6CF8" w:usb2="00000012" w:usb3="00000000" w:csb0="0004000F"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1563255"/>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2B6CA3"/>
    <w:multiLevelType w:val="singleLevel"/>
    <w:tmpl w:val="6D2B6CA3"/>
    <w:lvl w:ilvl="0" w:tentative="0">
      <w:start w:val="1"/>
      <w:numFmt w:val="chineseCountingThousand"/>
      <w:pStyle w:val="22"/>
      <w:lvlText w:val="第%1条"/>
      <w:lvlJc w:val="left"/>
      <w:pPr>
        <w:tabs>
          <w:tab w:val="left" w:pos="1247"/>
        </w:tabs>
        <w:ind w:left="1247" w:hanging="1247"/>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3NGM1NmIxMDA2NjBmMGJkOWEzZDM2MzhkMjVmYjMifQ=="/>
  </w:docVars>
  <w:rsids>
    <w:rsidRoot w:val="008D7751"/>
    <w:rsid w:val="00000266"/>
    <w:rsid w:val="00002A6E"/>
    <w:rsid w:val="0000554D"/>
    <w:rsid w:val="00010170"/>
    <w:rsid w:val="000108D1"/>
    <w:rsid w:val="0001597F"/>
    <w:rsid w:val="00021FA5"/>
    <w:rsid w:val="00025333"/>
    <w:rsid w:val="000278B7"/>
    <w:rsid w:val="00040EF2"/>
    <w:rsid w:val="00043687"/>
    <w:rsid w:val="000452FC"/>
    <w:rsid w:val="0004665D"/>
    <w:rsid w:val="000552D6"/>
    <w:rsid w:val="000605FA"/>
    <w:rsid w:val="000606F3"/>
    <w:rsid w:val="00060995"/>
    <w:rsid w:val="00063225"/>
    <w:rsid w:val="00063E23"/>
    <w:rsid w:val="0006418F"/>
    <w:rsid w:val="00065FEE"/>
    <w:rsid w:val="00075FDD"/>
    <w:rsid w:val="00076D99"/>
    <w:rsid w:val="000853AF"/>
    <w:rsid w:val="0008673E"/>
    <w:rsid w:val="00087B5D"/>
    <w:rsid w:val="00097392"/>
    <w:rsid w:val="000A1007"/>
    <w:rsid w:val="000A1234"/>
    <w:rsid w:val="000A2CC2"/>
    <w:rsid w:val="000A5746"/>
    <w:rsid w:val="000B1037"/>
    <w:rsid w:val="000B1079"/>
    <w:rsid w:val="000B29BD"/>
    <w:rsid w:val="000B2AF0"/>
    <w:rsid w:val="000C1B84"/>
    <w:rsid w:val="000C34AC"/>
    <w:rsid w:val="000C5133"/>
    <w:rsid w:val="000D750F"/>
    <w:rsid w:val="000E2AA9"/>
    <w:rsid w:val="000F4AB2"/>
    <w:rsid w:val="000F4C4C"/>
    <w:rsid w:val="00100848"/>
    <w:rsid w:val="00100B17"/>
    <w:rsid w:val="00102331"/>
    <w:rsid w:val="00105391"/>
    <w:rsid w:val="001060EE"/>
    <w:rsid w:val="0011090F"/>
    <w:rsid w:val="0011288A"/>
    <w:rsid w:val="001164ED"/>
    <w:rsid w:val="0012506E"/>
    <w:rsid w:val="0013066B"/>
    <w:rsid w:val="00134290"/>
    <w:rsid w:val="0013591F"/>
    <w:rsid w:val="001400FC"/>
    <w:rsid w:val="0014168E"/>
    <w:rsid w:val="00143707"/>
    <w:rsid w:val="001445A2"/>
    <w:rsid w:val="0014514A"/>
    <w:rsid w:val="00151269"/>
    <w:rsid w:val="00154428"/>
    <w:rsid w:val="00156361"/>
    <w:rsid w:val="001605A7"/>
    <w:rsid w:val="001624A9"/>
    <w:rsid w:val="001700D0"/>
    <w:rsid w:val="00171A08"/>
    <w:rsid w:val="00171B27"/>
    <w:rsid w:val="001730E5"/>
    <w:rsid w:val="00174037"/>
    <w:rsid w:val="00176F91"/>
    <w:rsid w:val="00183301"/>
    <w:rsid w:val="0019068F"/>
    <w:rsid w:val="00190BFD"/>
    <w:rsid w:val="0019257F"/>
    <w:rsid w:val="00196B30"/>
    <w:rsid w:val="001A09C7"/>
    <w:rsid w:val="001A1845"/>
    <w:rsid w:val="001B02F7"/>
    <w:rsid w:val="001B102F"/>
    <w:rsid w:val="001B1D9D"/>
    <w:rsid w:val="001B4A75"/>
    <w:rsid w:val="001B78B2"/>
    <w:rsid w:val="001C0EF3"/>
    <w:rsid w:val="001C2364"/>
    <w:rsid w:val="001C2551"/>
    <w:rsid w:val="001C3280"/>
    <w:rsid w:val="001E2A15"/>
    <w:rsid w:val="001E53FA"/>
    <w:rsid w:val="001F4058"/>
    <w:rsid w:val="001F78A8"/>
    <w:rsid w:val="002022A0"/>
    <w:rsid w:val="00205FE0"/>
    <w:rsid w:val="0022076B"/>
    <w:rsid w:val="0022359F"/>
    <w:rsid w:val="00224FE3"/>
    <w:rsid w:val="0023407E"/>
    <w:rsid w:val="002406A1"/>
    <w:rsid w:val="002502A0"/>
    <w:rsid w:val="00250872"/>
    <w:rsid w:val="00255BFB"/>
    <w:rsid w:val="00257B73"/>
    <w:rsid w:val="002620FF"/>
    <w:rsid w:val="00262474"/>
    <w:rsid w:val="00263413"/>
    <w:rsid w:val="00264D29"/>
    <w:rsid w:val="002662EE"/>
    <w:rsid w:val="0026665E"/>
    <w:rsid w:val="0027410C"/>
    <w:rsid w:val="00275D80"/>
    <w:rsid w:val="00276D94"/>
    <w:rsid w:val="00277B82"/>
    <w:rsid w:val="0028350A"/>
    <w:rsid w:val="002931BC"/>
    <w:rsid w:val="00295C4A"/>
    <w:rsid w:val="00295E30"/>
    <w:rsid w:val="002A144D"/>
    <w:rsid w:val="002A39B8"/>
    <w:rsid w:val="002A7DB1"/>
    <w:rsid w:val="002B0313"/>
    <w:rsid w:val="002B1EB9"/>
    <w:rsid w:val="002B1ECF"/>
    <w:rsid w:val="002B3F53"/>
    <w:rsid w:val="002C4630"/>
    <w:rsid w:val="002C4DF8"/>
    <w:rsid w:val="002C57BD"/>
    <w:rsid w:val="002D01A3"/>
    <w:rsid w:val="002D0F96"/>
    <w:rsid w:val="002D1073"/>
    <w:rsid w:val="002D4D4A"/>
    <w:rsid w:val="002D72F0"/>
    <w:rsid w:val="002D75AA"/>
    <w:rsid w:val="002E0B85"/>
    <w:rsid w:val="002E197C"/>
    <w:rsid w:val="002E6D83"/>
    <w:rsid w:val="002F0D70"/>
    <w:rsid w:val="002F5333"/>
    <w:rsid w:val="002F5EEC"/>
    <w:rsid w:val="0030747A"/>
    <w:rsid w:val="00307A83"/>
    <w:rsid w:val="003107CD"/>
    <w:rsid w:val="00310FDD"/>
    <w:rsid w:val="00311394"/>
    <w:rsid w:val="003148BD"/>
    <w:rsid w:val="00314B49"/>
    <w:rsid w:val="00317143"/>
    <w:rsid w:val="003209D9"/>
    <w:rsid w:val="003243DB"/>
    <w:rsid w:val="003253FA"/>
    <w:rsid w:val="0033034A"/>
    <w:rsid w:val="00330CCD"/>
    <w:rsid w:val="00331579"/>
    <w:rsid w:val="00331706"/>
    <w:rsid w:val="00331757"/>
    <w:rsid w:val="00335342"/>
    <w:rsid w:val="003354C1"/>
    <w:rsid w:val="00336923"/>
    <w:rsid w:val="00337A65"/>
    <w:rsid w:val="003419E7"/>
    <w:rsid w:val="00343B14"/>
    <w:rsid w:val="00345743"/>
    <w:rsid w:val="00345764"/>
    <w:rsid w:val="00347593"/>
    <w:rsid w:val="00350590"/>
    <w:rsid w:val="00357BB2"/>
    <w:rsid w:val="00357C84"/>
    <w:rsid w:val="00360961"/>
    <w:rsid w:val="003612DF"/>
    <w:rsid w:val="00365D91"/>
    <w:rsid w:val="00375CA0"/>
    <w:rsid w:val="00376507"/>
    <w:rsid w:val="00377849"/>
    <w:rsid w:val="00377F70"/>
    <w:rsid w:val="003841C9"/>
    <w:rsid w:val="003851A2"/>
    <w:rsid w:val="00386F8C"/>
    <w:rsid w:val="0038728F"/>
    <w:rsid w:val="00387A25"/>
    <w:rsid w:val="00390AA1"/>
    <w:rsid w:val="00390FB1"/>
    <w:rsid w:val="00397BC5"/>
    <w:rsid w:val="003A0A8A"/>
    <w:rsid w:val="003A22CB"/>
    <w:rsid w:val="003A655C"/>
    <w:rsid w:val="003A71CB"/>
    <w:rsid w:val="003B2241"/>
    <w:rsid w:val="003B3090"/>
    <w:rsid w:val="003B46D4"/>
    <w:rsid w:val="003B5DF9"/>
    <w:rsid w:val="003C2002"/>
    <w:rsid w:val="003C563D"/>
    <w:rsid w:val="003D0B20"/>
    <w:rsid w:val="003D7DC5"/>
    <w:rsid w:val="003E190C"/>
    <w:rsid w:val="003E4299"/>
    <w:rsid w:val="003F6DA8"/>
    <w:rsid w:val="00400DD6"/>
    <w:rsid w:val="00410CD7"/>
    <w:rsid w:val="00413FB4"/>
    <w:rsid w:val="00414D06"/>
    <w:rsid w:val="00415901"/>
    <w:rsid w:val="00416D00"/>
    <w:rsid w:val="00417C21"/>
    <w:rsid w:val="00422320"/>
    <w:rsid w:val="00426820"/>
    <w:rsid w:val="00426907"/>
    <w:rsid w:val="00431C8D"/>
    <w:rsid w:val="00434082"/>
    <w:rsid w:val="00440391"/>
    <w:rsid w:val="00446864"/>
    <w:rsid w:val="00447AC0"/>
    <w:rsid w:val="004502D5"/>
    <w:rsid w:val="004601E3"/>
    <w:rsid w:val="00472E47"/>
    <w:rsid w:val="004757E8"/>
    <w:rsid w:val="00475A60"/>
    <w:rsid w:val="00476EF4"/>
    <w:rsid w:val="00476F81"/>
    <w:rsid w:val="00477617"/>
    <w:rsid w:val="00492761"/>
    <w:rsid w:val="004929CB"/>
    <w:rsid w:val="004952C9"/>
    <w:rsid w:val="004A0168"/>
    <w:rsid w:val="004A1015"/>
    <w:rsid w:val="004B14F2"/>
    <w:rsid w:val="004B221D"/>
    <w:rsid w:val="004B317F"/>
    <w:rsid w:val="004B3E0D"/>
    <w:rsid w:val="004B4BAF"/>
    <w:rsid w:val="004C0D3E"/>
    <w:rsid w:val="004D0904"/>
    <w:rsid w:val="004D1072"/>
    <w:rsid w:val="004D194F"/>
    <w:rsid w:val="004E2724"/>
    <w:rsid w:val="004E4564"/>
    <w:rsid w:val="004E76E0"/>
    <w:rsid w:val="004F3ECA"/>
    <w:rsid w:val="004F4645"/>
    <w:rsid w:val="004F5A88"/>
    <w:rsid w:val="004F7A2A"/>
    <w:rsid w:val="00500EBE"/>
    <w:rsid w:val="00507184"/>
    <w:rsid w:val="005077B1"/>
    <w:rsid w:val="00507A95"/>
    <w:rsid w:val="00510FA3"/>
    <w:rsid w:val="00514C72"/>
    <w:rsid w:val="005162BF"/>
    <w:rsid w:val="00525557"/>
    <w:rsid w:val="005259E9"/>
    <w:rsid w:val="00534797"/>
    <w:rsid w:val="00544086"/>
    <w:rsid w:val="00544178"/>
    <w:rsid w:val="00547F48"/>
    <w:rsid w:val="00551CFB"/>
    <w:rsid w:val="00551D32"/>
    <w:rsid w:val="00552F40"/>
    <w:rsid w:val="005536D2"/>
    <w:rsid w:val="005612E8"/>
    <w:rsid w:val="00561822"/>
    <w:rsid w:val="00562478"/>
    <w:rsid w:val="00564FE3"/>
    <w:rsid w:val="00572C4B"/>
    <w:rsid w:val="005802E7"/>
    <w:rsid w:val="00587496"/>
    <w:rsid w:val="00597283"/>
    <w:rsid w:val="005A0BCB"/>
    <w:rsid w:val="005A2FC5"/>
    <w:rsid w:val="005A3414"/>
    <w:rsid w:val="005B0335"/>
    <w:rsid w:val="005B46C5"/>
    <w:rsid w:val="005B4D10"/>
    <w:rsid w:val="005B5049"/>
    <w:rsid w:val="005B6583"/>
    <w:rsid w:val="005D533F"/>
    <w:rsid w:val="005D65FD"/>
    <w:rsid w:val="005E4B08"/>
    <w:rsid w:val="005E4B22"/>
    <w:rsid w:val="005F1045"/>
    <w:rsid w:val="005F136E"/>
    <w:rsid w:val="005F49BC"/>
    <w:rsid w:val="005F4DD9"/>
    <w:rsid w:val="0060185A"/>
    <w:rsid w:val="00603C8E"/>
    <w:rsid w:val="006072DC"/>
    <w:rsid w:val="006132A9"/>
    <w:rsid w:val="006161FB"/>
    <w:rsid w:val="006164AF"/>
    <w:rsid w:val="00620770"/>
    <w:rsid w:val="006249A3"/>
    <w:rsid w:val="0063451B"/>
    <w:rsid w:val="00634E75"/>
    <w:rsid w:val="00637369"/>
    <w:rsid w:val="00641A59"/>
    <w:rsid w:val="00643D51"/>
    <w:rsid w:val="00660661"/>
    <w:rsid w:val="00660A0D"/>
    <w:rsid w:val="00666BBB"/>
    <w:rsid w:val="00666EA5"/>
    <w:rsid w:val="006675C7"/>
    <w:rsid w:val="00672262"/>
    <w:rsid w:val="00672703"/>
    <w:rsid w:val="00672BD6"/>
    <w:rsid w:val="00673B60"/>
    <w:rsid w:val="0067583E"/>
    <w:rsid w:val="006770F2"/>
    <w:rsid w:val="00680181"/>
    <w:rsid w:val="00683882"/>
    <w:rsid w:val="00690522"/>
    <w:rsid w:val="00693ED6"/>
    <w:rsid w:val="00697249"/>
    <w:rsid w:val="006A412C"/>
    <w:rsid w:val="006A69CC"/>
    <w:rsid w:val="006B245F"/>
    <w:rsid w:val="006B64B7"/>
    <w:rsid w:val="006C0106"/>
    <w:rsid w:val="006C03C8"/>
    <w:rsid w:val="006C2877"/>
    <w:rsid w:val="006D1D26"/>
    <w:rsid w:val="006D4218"/>
    <w:rsid w:val="006D7A69"/>
    <w:rsid w:val="006F437C"/>
    <w:rsid w:val="006F67A3"/>
    <w:rsid w:val="006F7D27"/>
    <w:rsid w:val="00707F91"/>
    <w:rsid w:val="007127C5"/>
    <w:rsid w:val="0072030B"/>
    <w:rsid w:val="007226A0"/>
    <w:rsid w:val="007347C6"/>
    <w:rsid w:val="00742408"/>
    <w:rsid w:val="00742EEC"/>
    <w:rsid w:val="00743906"/>
    <w:rsid w:val="007455D7"/>
    <w:rsid w:val="00746814"/>
    <w:rsid w:val="00747580"/>
    <w:rsid w:val="00751A6F"/>
    <w:rsid w:val="007560F2"/>
    <w:rsid w:val="00760040"/>
    <w:rsid w:val="007600CF"/>
    <w:rsid w:val="007626E7"/>
    <w:rsid w:val="0076518A"/>
    <w:rsid w:val="007661D1"/>
    <w:rsid w:val="007665D7"/>
    <w:rsid w:val="00774BE2"/>
    <w:rsid w:val="00775CE3"/>
    <w:rsid w:val="00782CF0"/>
    <w:rsid w:val="00783753"/>
    <w:rsid w:val="00784D79"/>
    <w:rsid w:val="007872C1"/>
    <w:rsid w:val="00793AF1"/>
    <w:rsid w:val="0079455F"/>
    <w:rsid w:val="0079462E"/>
    <w:rsid w:val="0079492E"/>
    <w:rsid w:val="007A106F"/>
    <w:rsid w:val="007A4574"/>
    <w:rsid w:val="007A7403"/>
    <w:rsid w:val="007B0B6B"/>
    <w:rsid w:val="007B4531"/>
    <w:rsid w:val="007B5AD2"/>
    <w:rsid w:val="007B7583"/>
    <w:rsid w:val="007B7CBA"/>
    <w:rsid w:val="007B7D4E"/>
    <w:rsid w:val="007C101F"/>
    <w:rsid w:val="007C5D47"/>
    <w:rsid w:val="007C7D90"/>
    <w:rsid w:val="007D0327"/>
    <w:rsid w:val="007D3EED"/>
    <w:rsid w:val="007D5971"/>
    <w:rsid w:val="007E064B"/>
    <w:rsid w:val="007E13D6"/>
    <w:rsid w:val="007E402E"/>
    <w:rsid w:val="007E47A1"/>
    <w:rsid w:val="007E690E"/>
    <w:rsid w:val="007E7512"/>
    <w:rsid w:val="007F28D8"/>
    <w:rsid w:val="007F6BDE"/>
    <w:rsid w:val="007F7832"/>
    <w:rsid w:val="00802CE2"/>
    <w:rsid w:val="00807403"/>
    <w:rsid w:val="00807DB3"/>
    <w:rsid w:val="00812458"/>
    <w:rsid w:val="00813A14"/>
    <w:rsid w:val="008153A8"/>
    <w:rsid w:val="0081599E"/>
    <w:rsid w:val="008169AD"/>
    <w:rsid w:val="0082214F"/>
    <w:rsid w:val="00822F5F"/>
    <w:rsid w:val="008237E7"/>
    <w:rsid w:val="0083237A"/>
    <w:rsid w:val="008432E6"/>
    <w:rsid w:val="00843AB2"/>
    <w:rsid w:val="00845237"/>
    <w:rsid w:val="00846870"/>
    <w:rsid w:val="008474AC"/>
    <w:rsid w:val="008532B0"/>
    <w:rsid w:val="00854052"/>
    <w:rsid w:val="0085447F"/>
    <w:rsid w:val="008547C3"/>
    <w:rsid w:val="00855F7E"/>
    <w:rsid w:val="00857736"/>
    <w:rsid w:val="00857FCA"/>
    <w:rsid w:val="00860315"/>
    <w:rsid w:val="0086155B"/>
    <w:rsid w:val="00863AD7"/>
    <w:rsid w:val="00865254"/>
    <w:rsid w:val="00870B3E"/>
    <w:rsid w:val="00871B52"/>
    <w:rsid w:val="00871CCD"/>
    <w:rsid w:val="00873831"/>
    <w:rsid w:val="00882FFB"/>
    <w:rsid w:val="0088770F"/>
    <w:rsid w:val="0089060C"/>
    <w:rsid w:val="0089140F"/>
    <w:rsid w:val="00893C19"/>
    <w:rsid w:val="00895417"/>
    <w:rsid w:val="008A14B4"/>
    <w:rsid w:val="008A49BA"/>
    <w:rsid w:val="008A69AB"/>
    <w:rsid w:val="008B01BD"/>
    <w:rsid w:val="008B2A7B"/>
    <w:rsid w:val="008C07FD"/>
    <w:rsid w:val="008C3D40"/>
    <w:rsid w:val="008D4244"/>
    <w:rsid w:val="008D5E6B"/>
    <w:rsid w:val="008D7751"/>
    <w:rsid w:val="008D7D88"/>
    <w:rsid w:val="008E00B3"/>
    <w:rsid w:val="008E0633"/>
    <w:rsid w:val="008E11E7"/>
    <w:rsid w:val="008E2E07"/>
    <w:rsid w:val="008E3780"/>
    <w:rsid w:val="008E4239"/>
    <w:rsid w:val="008F0BCE"/>
    <w:rsid w:val="008F1E72"/>
    <w:rsid w:val="008F313A"/>
    <w:rsid w:val="00900890"/>
    <w:rsid w:val="00911476"/>
    <w:rsid w:val="00912354"/>
    <w:rsid w:val="00915B39"/>
    <w:rsid w:val="00921862"/>
    <w:rsid w:val="00926A4D"/>
    <w:rsid w:val="009345E5"/>
    <w:rsid w:val="00936B07"/>
    <w:rsid w:val="00945D21"/>
    <w:rsid w:val="00946789"/>
    <w:rsid w:val="00952522"/>
    <w:rsid w:val="00953BC4"/>
    <w:rsid w:val="00955A0E"/>
    <w:rsid w:val="009606E3"/>
    <w:rsid w:val="00962086"/>
    <w:rsid w:val="009649AD"/>
    <w:rsid w:val="0097232E"/>
    <w:rsid w:val="00972815"/>
    <w:rsid w:val="00972D69"/>
    <w:rsid w:val="00974E82"/>
    <w:rsid w:val="00980AD5"/>
    <w:rsid w:val="00980CC8"/>
    <w:rsid w:val="00984FB2"/>
    <w:rsid w:val="00986878"/>
    <w:rsid w:val="00993C26"/>
    <w:rsid w:val="009956E8"/>
    <w:rsid w:val="00997BDA"/>
    <w:rsid w:val="009A5BE1"/>
    <w:rsid w:val="009A64D4"/>
    <w:rsid w:val="009B398B"/>
    <w:rsid w:val="009B5204"/>
    <w:rsid w:val="009C2ADB"/>
    <w:rsid w:val="009D3162"/>
    <w:rsid w:val="009D3626"/>
    <w:rsid w:val="009E0F63"/>
    <w:rsid w:val="009F2379"/>
    <w:rsid w:val="009F2811"/>
    <w:rsid w:val="00A01B8A"/>
    <w:rsid w:val="00A030DB"/>
    <w:rsid w:val="00A04C19"/>
    <w:rsid w:val="00A071C5"/>
    <w:rsid w:val="00A10482"/>
    <w:rsid w:val="00A15851"/>
    <w:rsid w:val="00A26859"/>
    <w:rsid w:val="00A32755"/>
    <w:rsid w:val="00A33C36"/>
    <w:rsid w:val="00A3415C"/>
    <w:rsid w:val="00A40E5A"/>
    <w:rsid w:val="00A467AC"/>
    <w:rsid w:val="00A616FB"/>
    <w:rsid w:val="00A640B1"/>
    <w:rsid w:val="00A7016F"/>
    <w:rsid w:val="00A7217E"/>
    <w:rsid w:val="00A80F76"/>
    <w:rsid w:val="00A861BB"/>
    <w:rsid w:val="00A877DE"/>
    <w:rsid w:val="00A90200"/>
    <w:rsid w:val="00A91A49"/>
    <w:rsid w:val="00A92AE9"/>
    <w:rsid w:val="00A9588C"/>
    <w:rsid w:val="00A96121"/>
    <w:rsid w:val="00AA2C1F"/>
    <w:rsid w:val="00AA3D12"/>
    <w:rsid w:val="00AA5A99"/>
    <w:rsid w:val="00AB3352"/>
    <w:rsid w:val="00AB3B45"/>
    <w:rsid w:val="00AB3F90"/>
    <w:rsid w:val="00AB42C7"/>
    <w:rsid w:val="00AB44ED"/>
    <w:rsid w:val="00AB50C0"/>
    <w:rsid w:val="00AB669B"/>
    <w:rsid w:val="00AB7F74"/>
    <w:rsid w:val="00AC0AC4"/>
    <w:rsid w:val="00AC4966"/>
    <w:rsid w:val="00AC61D6"/>
    <w:rsid w:val="00AC66DB"/>
    <w:rsid w:val="00AC76BB"/>
    <w:rsid w:val="00AD1F7F"/>
    <w:rsid w:val="00AD7BEF"/>
    <w:rsid w:val="00AE0983"/>
    <w:rsid w:val="00AE310A"/>
    <w:rsid w:val="00AE65B8"/>
    <w:rsid w:val="00AF3B48"/>
    <w:rsid w:val="00B006AE"/>
    <w:rsid w:val="00B02328"/>
    <w:rsid w:val="00B024F4"/>
    <w:rsid w:val="00B073CA"/>
    <w:rsid w:val="00B11134"/>
    <w:rsid w:val="00B21C99"/>
    <w:rsid w:val="00B26992"/>
    <w:rsid w:val="00B271CB"/>
    <w:rsid w:val="00B2761C"/>
    <w:rsid w:val="00B30391"/>
    <w:rsid w:val="00B31B57"/>
    <w:rsid w:val="00B335EE"/>
    <w:rsid w:val="00B40781"/>
    <w:rsid w:val="00B427F3"/>
    <w:rsid w:val="00B462D6"/>
    <w:rsid w:val="00B46388"/>
    <w:rsid w:val="00B5180B"/>
    <w:rsid w:val="00B53397"/>
    <w:rsid w:val="00B53853"/>
    <w:rsid w:val="00B538B5"/>
    <w:rsid w:val="00B56A44"/>
    <w:rsid w:val="00B6104A"/>
    <w:rsid w:val="00B642E3"/>
    <w:rsid w:val="00B64A14"/>
    <w:rsid w:val="00B65667"/>
    <w:rsid w:val="00B65BA7"/>
    <w:rsid w:val="00B67C83"/>
    <w:rsid w:val="00B73524"/>
    <w:rsid w:val="00B76DC8"/>
    <w:rsid w:val="00B85346"/>
    <w:rsid w:val="00B87DBC"/>
    <w:rsid w:val="00B970AA"/>
    <w:rsid w:val="00B97667"/>
    <w:rsid w:val="00BA0B56"/>
    <w:rsid w:val="00BA754E"/>
    <w:rsid w:val="00BB74B6"/>
    <w:rsid w:val="00BB76C7"/>
    <w:rsid w:val="00BC21AF"/>
    <w:rsid w:val="00BC4CC5"/>
    <w:rsid w:val="00BD02FE"/>
    <w:rsid w:val="00BD523A"/>
    <w:rsid w:val="00BE033E"/>
    <w:rsid w:val="00BF3BF1"/>
    <w:rsid w:val="00BF77CB"/>
    <w:rsid w:val="00BF7F39"/>
    <w:rsid w:val="00C039A4"/>
    <w:rsid w:val="00C05C84"/>
    <w:rsid w:val="00C0610A"/>
    <w:rsid w:val="00C07C20"/>
    <w:rsid w:val="00C16D03"/>
    <w:rsid w:val="00C23711"/>
    <w:rsid w:val="00C25ABA"/>
    <w:rsid w:val="00C25C2E"/>
    <w:rsid w:val="00C2794F"/>
    <w:rsid w:val="00C31261"/>
    <w:rsid w:val="00C3150D"/>
    <w:rsid w:val="00C41A70"/>
    <w:rsid w:val="00C4259E"/>
    <w:rsid w:val="00C4270B"/>
    <w:rsid w:val="00C43778"/>
    <w:rsid w:val="00C47705"/>
    <w:rsid w:val="00C559A8"/>
    <w:rsid w:val="00C57951"/>
    <w:rsid w:val="00C6110B"/>
    <w:rsid w:val="00C63786"/>
    <w:rsid w:val="00C63D8A"/>
    <w:rsid w:val="00C779EC"/>
    <w:rsid w:val="00C8281B"/>
    <w:rsid w:val="00C8584C"/>
    <w:rsid w:val="00C90134"/>
    <w:rsid w:val="00C9729B"/>
    <w:rsid w:val="00CA05F3"/>
    <w:rsid w:val="00CA5EAB"/>
    <w:rsid w:val="00CA6823"/>
    <w:rsid w:val="00CB225D"/>
    <w:rsid w:val="00CB5B57"/>
    <w:rsid w:val="00CC3AF9"/>
    <w:rsid w:val="00CC6763"/>
    <w:rsid w:val="00CC7505"/>
    <w:rsid w:val="00CD04B7"/>
    <w:rsid w:val="00CD1B64"/>
    <w:rsid w:val="00CD3642"/>
    <w:rsid w:val="00CD5BBF"/>
    <w:rsid w:val="00CE006E"/>
    <w:rsid w:val="00CE2A20"/>
    <w:rsid w:val="00CE3D2A"/>
    <w:rsid w:val="00CE5CB5"/>
    <w:rsid w:val="00CE6D0A"/>
    <w:rsid w:val="00CF16CA"/>
    <w:rsid w:val="00CF391C"/>
    <w:rsid w:val="00CF4040"/>
    <w:rsid w:val="00CF653D"/>
    <w:rsid w:val="00D01E4F"/>
    <w:rsid w:val="00D02FB7"/>
    <w:rsid w:val="00D030EB"/>
    <w:rsid w:val="00D04842"/>
    <w:rsid w:val="00D12109"/>
    <w:rsid w:val="00D1251F"/>
    <w:rsid w:val="00D137CB"/>
    <w:rsid w:val="00D2135B"/>
    <w:rsid w:val="00D2498D"/>
    <w:rsid w:val="00D34180"/>
    <w:rsid w:val="00D34AEF"/>
    <w:rsid w:val="00D34C35"/>
    <w:rsid w:val="00D4259F"/>
    <w:rsid w:val="00D42D28"/>
    <w:rsid w:val="00D43DE9"/>
    <w:rsid w:val="00D44678"/>
    <w:rsid w:val="00D447AC"/>
    <w:rsid w:val="00D46A93"/>
    <w:rsid w:val="00D47104"/>
    <w:rsid w:val="00D51A2B"/>
    <w:rsid w:val="00D52249"/>
    <w:rsid w:val="00D5260D"/>
    <w:rsid w:val="00D548E4"/>
    <w:rsid w:val="00D54C73"/>
    <w:rsid w:val="00D56E30"/>
    <w:rsid w:val="00D57185"/>
    <w:rsid w:val="00D62892"/>
    <w:rsid w:val="00D6296F"/>
    <w:rsid w:val="00D658E3"/>
    <w:rsid w:val="00D67BED"/>
    <w:rsid w:val="00D74A8A"/>
    <w:rsid w:val="00D80C12"/>
    <w:rsid w:val="00D84768"/>
    <w:rsid w:val="00D84E5F"/>
    <w:rsid w:val="00D8669B"/>
    <w:rsid w:val="00D901DE"/>
    <w:rsid w:val="00D90859"/>
    <w:rsid w:val="00D933BF"/>
    <w:rsid w:val="00D96CE7"/>
    <w:rsid w:val="00DA06C5"/>
    <w:rsid w:val="00DA108D"/>
    <w:rsid w:val="00DA1746"/>
    <w:rsid w:val="00DA24A6"/>
    <w:rsid w:val="00DA3CE5"/>
    <w:rsid w:val="00DA486C"/>
    <w:rsid w:val="00DB0E44"/>
    <w:rsid w:val="00DC1100"/>
    <w:rsid w:val="00DC20C6"/>
    <w:rsid w:val="00DC2345"/>
    <w:rsid w:val="00DC7074"/>
    <w:rsid w:val="00DD6D33"/>
    <w:rsid w:val="00DD78FB"/>
    <w:rsid w:val="00DE073D"/>
    <w:rsid w:val="00DE1058"/>
    <w:rsid w:val="00DE30D9"/>
    <w:rsid w:val="00DE4764"/>
    <w:rsid w:val="00DF3FAC"/>
    <w:rsid w:val="00DF695E"/>
    <w:rsid w:val="00E04DAD"/>
    <w:rsid w:val="00E15152"/>
    <w:rsid w:val="00E167BC"/>
    <w:rsid w:val="00E178A3"/>
    <w:rsid w:val="00E22128"/>
    <w:rsid w:val="00E22617"/>
    <w:rsid w:val="00E33580"/>
    <w:rsid w:val="00E33A35"/>
    <w:rsid w:val="00E41C24"/>
    <w:rsid w:val="00E44E2E"/>
    <w:rsid w:val="00E45B54"/>
    <w:rsid w:val="00E47296"/>
    <w:rsid w:val="00E63179"/>
    <w:rsid w:val="00E633D5"/>
    <w:rsid w:val="00E65557"/>
    <w:rsid w:val="00E6578B"/>
    <w:rsid w:val="00E75088"/>
    <w:rsid w:val="00E77BF8"/>
    <w:rsid w:val="00E816A3"/>
    <w:rsid w:val="00E83D2B"/>
    <w:rsid w:val="00E8546F"/>
    <w:rsid w:val="00E856FF"/>
    <w:rsid w:val="00E90658"/>
    <w:rsid w:val="00E91625"/>
    <w:rsid w:val="00E93207"/>
    <w:rsid w:val="00EA0128"/>
    <w:rsid w:val="00EA29F3"/>
    <w:rsid w:val="00EA3D92"/>
    <w:rsid w:val="00EA542F"/>
    <w:rsid w:val="00EB0388"/>
    <w:rsid w:val="00EB6F89"/>
    <w:rsid w:val="00EB7E4A"/>
    <w:rsid w:val="00EC33DC"/>
    <w:rsid w:val="00EC41AA"/>
    <w:rsid w:val="00ED1F2F"/>
    <w:rsid w:val="00EE01FC"/>
    <w:rsid w:val="00EE15B0"/>
    <w:rsid w:val="00EE2452"/>
    <w:rsid w:val="00EE392C"/>
    <w:rsid w:val="00EF357F"/>
    <w:rsid w:val="00EF3B47"/>
    <w:rsid w:val="00EF4370"/>
    <w:rsid w:val="00EF50ED"/>
    <w:rsid w:val="00F01934"/>
    <w:rsid w:val="00F04D1C"/>
    <w:rsid w:val="00F15DA2"/>
    <w:rsid w:val="00F21404"/>
    <w:rsid w:val="00F22FB3"/>
    <w:rsid w:val="00F262CC"/>
    <w:rsid w:val="00F26789"/>
    <w:rsid w:val="00F3033A"/>
    <w:rsid w:val="00F31503"/>
    <w:rsid w:val="00F31CB0"/>
    <w:rsid w:val="00F44501"/>
    <w:rsid w:val="00F45B45"/>
    <w:rsid w:val="00F4741D"/>
    <w:rsid w:val="00F50B84"/>
    <w:rsid w:val="00F5299D"/>
    <w:rsid w:val="00F5446D"/>
    <w:rsid w:val="00F548DF"/>
    <w:rsid w:val="00F55024"/>
    <w:rsid w:val="00F57D9E"/>
    <w:rsid w:val="00F60DEA"/>
    <w:rsid w:val="00F61DF6"/>
    <w:rsid w:val="00F76EAC"/>
    <w:rsid w:val="00F825F6"/>
    <w:rsid w:val="00F82B53"/>
    <w:rsid w:val="00F8357F"/>
    <w:rsid w:val="00F85437"/>
    <w:rsid w:val="00F936F3"/>
    <w:rsid w:val="00F950AE"/>
    <w:rsid w:val="00F96E92"/>
    <w:rsid w:val="00F9729C"/>
    <w:rsid w:val="00F97492"/>
    <w:rsid w:val="00FA36D7"/>
    <w:rsid w:val="00FA487C"/>
    <w:rsid w:val="00FA65F8"/>
    <w:rsid w:val="00FA78C4"/>
    <w:rsid w:val="00FA79F1"/>
    <w:rsid w:val="00FB1CFC"/>
    <w:rsid w:val="00FB1E92"/>
    <w:rsid w:val="00FB2AA2"/>
    <w:rsid w:val="00FB6D72"/>
    <w:rsid w:val="00FC07A0"/>
    <w:rsid w:val="00FC5634"/>
    <w:rsid w:val="00FC650A"/>
    <w:rsid w:val="00FC6AFD"/>
    <w:rsid w:val="00FD0AB7"/>
    <w:rsid w:val="00FD39D9"/>
    <w:rsid w:val="00FD5BDC"/>
    <w:rsid w:val="00FD6B7D"/>
    <w:rsid w:val="00FD7626"/>
    <w:rsid w:val="00FE3A9B"/>
    <w:rsid w:val="00FF033D"/>
    <w:rsid w:val="00FF2925"/>
    <w:rsid w:val="00FF7ED0"/>
    <w:rsid w:val="016707FB"/>
    <w:rsid w:val="02E0568C"/>
    <w:rsid w:val="03990047"/>
    <w:rsid w:val="05EB03A9"/>
    <w:rsid w:val="075141A8"/>
    <w:rsid w:val="08CA45D4"/>
    <w:rsid w:val="0B0B73EF"/>
    <w:rsid w:val="0B21104E"/>
    <w:rsid w:val="0B651BC9"/>
    <w:rsid w:val="0BAF549A"/>
    <w:rsid w:val="0FEEDF82"/>
    <w:rsid w:val="108D558D"/>
    <w:rsid w:val="10D555DA"/>
    <w:rsid w:val="13363135"/>
    <w:rsid w:val="140C2170"/>
    <w:rsid w:val="14341230"/>
    <w:rsid w:val="14484368"/>
    <w:rsid w:val="177F58BF"/>
    <w:rsid w:val="183A3240"/>
    <w:rsid w:val="19026C93"/>
    <w:rsid w:val="199C460C"/>
    <w:rsid w:val="1A9770E8"/>
    <w:rsid w:val="1AF26805"/>
    <w:rsid w:val="1B4B6F68"/>
    <w:rsid w:val="1C362855"/>
    <w:rsid w:val="1C4E46F0"/>
    <w:rsid w:val="1C8A37A5"/>
    <w:rsid w:val="1D886972"/>
    <w:rsid w:val="1DA55038"/>
    <w:rsid w:val="1E59503E"/>
    <w:rsid w:val="1F074AB6"/>
    <w:rsid w:val="1FA23549"/>
    <w:rsid w:val="20103B7A"/>
    <w:rsid w:val="211556DA"/>
    <w:rsid w:val="21D65D9C"/>
    <w:rsid w:val="231529AD"/>
    <w:rsid w:val="232F670A"/>
    <w:rsid w:val="24017F53"/>
    <w:rsid w:val="266C5C5C"/>
    <w:rsid w:val="27B262E9"/>
    <w:rsid w:val="29055A3D"/>
    <w:rsid w:val="29C74EA5"/>
    <w:rsid w:val="2AB843EB"/>
    <w:rsid w:val="2B17A479"/>
    <w:rsid w:val="2C232C3D"/>
    <w:rsid w:val="2D346952"/>
    <w:rsid w:val="2E7B5B64"/>
    <w:rsid w:val="2FE35EF0"/>
    <w:rsid w:val="30BE418F"/>
    <w:rsid w:val="31514798"/>
    <w:rsid w:val="34A4005D"/>
    <w:rsid w:val="35933149"/>
    <w:rsid w:val="37BF89A4"/>
    <w:rsid w:val="383577C4"/>
    <w:rsid w:val="38417632"/>
    <w:rsid w:val="397C7B0B"/>
    <w:rsid w:val="39BF25D6"/>
    <w:rsid w:val="3C2B0847"/>
    <w:rsid w:val="3D021D56"/>
    <w:rsid w:val="3FFB488A"/>
    <w:rsid w:val="42292764"/>
    <w:rsid w:val="42E108A6"/>
    <w:rsid w:val="444255B6"/>
    <w:rsid w:val="44D327C4"/>
    <w:rsid w:val="456101FD"/>
    <w:rsid w:val="45A47159"/>
    <w:rsid w:val="45C944FD"/>
    <w:rsid w:val="45D868BE"/>
    <w:rsid w:val="46FE0A2C"/>
    <w:rsid w:val="480B47B9"/>
    <w:rsid w:val="481C3158"/>
    <w:rsid w:val="4CBE50C8"/>
    <w:rsid w:val="4CCF7FBA"/>
    <w:rsid w:val="4D555C36"/>
    <w:rsid w:val="4D605E84"/>
    <w:rsid w:val="4DD722F9"/>
    <w:rsid w:val="4F236628"/>
    <w:rsid w:val="503926FC"/>
    <w:rsid w:val="53C9FEDA"/>
    <w:rsid w:val="53CF3F17"/>
    <w:rsid w:val="54C23BBC"/>
    <w:rsid w:val="559A061F"/>
    <w:rsid w:val="58294405"/>
    <w:rsid w:val="58730DA8"/>
    <w:rsid w:val="5987126E"/>
    <w:rsid w:val="5A715729"/>
    <w:rsid w:val="5B1C11F2"/>
    <w:rsid w:val="5C6573A8"/>
    <w:rsid w:val="5C8B390B"/>
    <w:rsid w:val="5EBA7EBA"/>
    <w:rsid w:val="5F2C316D"/>
    <w:rsid w:val="5FAA3501"/>
    <w:rsid w:val="5FBE3079"/>
    <w:rsid w:val="61204DA7"/>
    <w:rsid w:val="61CC58F2"/>
    <w:rsid w:val="61DF6C2E"/>
    <w:rsid w:val="63A14688"/>
    <w:rsid w:val="63A407E2"/>
    <w:rsid w:val="64083E08"/>
    <w:rsid w:val="65724471"/>
    <w:rsid w:val="66E30EBC"/>
    <w:rsid w:val="6A940E6B"/>
    <w:rsid w:val="6DFF2345"/>
    <w:rsid w:val="6E5FE04E"/>
    <w:rsid w:val="6EDF2E8E"/>
    <w:rsid w:val="6F1C4B98"/>
    <w:rsid w:val="6FDBFEF4"/>
    <w:rsid w:val="71581C6B"/>
    <w:rsid w:val="7235383B"/>
    <w:rsid w:val="72FF0C9B"/>
    <w:rsid w:val="73227999"/>
    <w:rsid w:val="735512E4"/>
    <w:rsid w:val="736839D3"/>
    <w:rsid w:val="75EA6222"/>
    <w:rsid w:val="76D23347"/>
    <w:rsid w:val="76FA26CD"/>
    <w:rsid w:val="7778287E"/>
    <w:rsid w:val="7799FEC1"/>
    <w:rsid w:val="784E636D"/>
    <w:rsid w:val="793602F8"/>
    <w:rsid w:val="7CF7948E"/>
    <w:rsid w:val="7D67370A"/>
    <w:rsid w:val="7F8E422E"/>
    <w:rsid w:val="7FFDB3B8"/>
    <w:rsid w:val="87CC2540"/>
    <w:rsid w:val="A6F61D3A"/>
    <w:rsid w:val="ABFEFEAA"/>
    <w:rsid w:val="B5BF6F31"/>
    <w:rsid w:val="B7BC0C71"/>
    <w:rsid w:val="B7FF7CA0"/>
    <w:rsid w:val="B977217B"/>
    <w:rsid w:val="BB0F7B47"/>
    <w:rsid w:val="BFFD9755"/>
    <w:rsid w:val="D6FE7531"/>
    <w:rsid w:val="F2F993DD"/>
    <w:rsid w:val="F77FE23C"/>
    <w:rsid w:val="FBFD1AD5"/>
    <w:rsid w:val="FCF9D349"/>
    <w:rsid w:val="FDF9F769"/>
    <w:rsid w:val="FF5DBE4F"/>
    <w:rsid w:val="FFE7D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4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1"/>
    <w:qFormat/>
    <w:uiPriority w:val="0"/>
    <w:pPr>
      <w:keepNext/>
      <w:keepLines/>
      <w:spacing w:before="260" w:after="260" w:line="416" w:lineRule="auto"/>
      <w:jc w:val="center"/>
      <w:outlineLvl w:val="1"/>
    </w:pPr>
    <w:rPr>
      <w:rFonts w:ascii="Arial" w:hAnsi="Arial" w:eastAsia="微软雅黑" w:cs="Times New Roman"/>
      <w:b/>
      <w:bCs/>
      <w:sz w:val="32"/>
      <w:szCs w:val="32"/>
      <w:lang w:val="zh-CN"/>
    </w:rPr>
  </w:style>
  <w:style w:type="paragraph" w:styleId="2">
    <w:name w:val="heading 3"/>
    <w:basedOn w:val="1"/>
    <w:next w:val="1"/>
    <w:link w:val="32"/>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43"/>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30"/>
    <w:semiHidden/>
    <w:unhideWhenUsed/>
    <w:qFormat/>
    <w:uiPriority w:val="99"/>
    <w:pPr>
      <w:jc w:val="left"/>
    </w:pPr>
  </w:style>
  <w:style w:type="paragraph" w:styleId="7">
    <w:name w:val="toc 3"/>
    <w:basedOn w:val="1"/>
    <w:next w:val="1"/>
    <w:unhideWhenUsed/>
    <w:qFormat/>
    <w:uiPriority w:val="39"/>
    <w:pPr>
      <w:ind w:left="840" w:leftChars="400"/>
    </w:pPr>
  </w:style>
  <w:style w:type="paragraph" w:styleId="8">
    <w:name w:val="Date"/>
    <w:basedOn w:val="1"/>
    <w:next w:val="1"/>
    <w:link w:val="29"/>
    <w:semiHidden/>
    <w:unhideWhenUsed/>
    <w:qFormat/>
    <w:uiPriority w:val="99"/>
    <w:pPr>
      <w:ind w:left="100" w:leftChars="2500"/>
    </w:pPr>
  </w:style>
  <w:style w:type="paragraph" w:styleId="9">
    <w:name w:val="Balloon Text"/>
    <w:basedOn w:val="1"/>
    <w:link w:val="50"/>
    <w:semiHidden/>
    <w:unhideWhenUsed/>
    <w:qFormat/>
    <w:uiPriority w:val="99"/>
    <w:rPr>
      <w:sz w:val="18"/>
      <w:szCs w:val="18"/>
    </w:rPr>
  </w:style>
  <w:style w:type="paragraph" w:styleId="10">
    <w:name w:val="footer"/>
    <w:basedOn w:val="1"/>
    <w:link w:val="26"/>
    <w:unhideWhenUsed/>
    <w:qFormat/>
    <w:uiPriority w:val="99"/>
    <w:pPr>
      <w:tabs>
        <w:tab w:val="center" w:pos="4153"/>
        <w:tab w:val="right" w:pos="8306"/>
      </w:tabs>
      <w:snapToGrid w:val="0"/>
      <w:jc w:val="left"/>
    </w:pPr>
    <w:rPr>
      <w:sz w:val="18"/>
      <w:szCs w:val="18"/>
    </w:rPr>
  </w:style>
  <w:style w:type="paragraph" w:styleId="11">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2"/>
    <w:basedOn w:val="1"/>
    <w:next w:val="1"/>
    <w:unhideWhenUsed/>
    <w:qFormat/>
    <w:uiPriority w:val="39"/>
    <w:pPr>
      <w:tabs>
        <w:tab w:val="right" w:leader="dot" w:pos="8296"/>
      </w:tabs>
      <w:spacing w:line="276" w:lineRule="auto"/>
      <w:ind w:left="420" w:leftChars="200"/>
    </w:p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Cs w:val="24"/>
    </w:rPr>
  </w:style>
  <w:style w:type="paragraph" w:styleId="14">
    <w:name w:val="Normal (Web)"/>
    <w:basedOn w:val="1"/>
    <w:semiHidden/>
    <w:unhideWhenUsed/>
    <w:qFormat/>
    <w:uiPriority w:val="99"/>
    <w:pPr>
      <w:spacing w:beforeAutospacing="1" w:afterAutospacing="1"/>
      <w:jc w:val="left"/>
    </w:pPr>
    <w:rPr>
      <w:rFonts w:cs="Times New Roman"/>
      <w:kern w:val="0"/>
      <w:sz w:val="24"/>
    </w:rPr>
  </w:style>
  <w:style w:type="paragraph" w:styleId="15">
    <w:name w:val="annotation subject"/>
    <w:basedOn w:val="6"/>
    <w:next w:val="6"/>
    <w:link w:val="31"/>
    <w:semiHidden/>
    <w:unhideWhenUsed/>
    <w:qFormat/>
    <w:uiPriority w:val="99"/>
    <w:rPr>
      <w:b/>
      <w:bCs/>
    </w:rPr>
  </w:style>
  <w:style w:type="table" w:styleId="17">
    <w:name w:val="Table Grid"/>
    <w:basedOn w:val="16"/>
    <w:qFormat/>
    <w:uiPriority w:val="9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themeColor="hyperlink"/>
      <w:u w:val="single"/>
      <w14:textFill>
        <w14:solidFill>
          <w14:schemeClr w14:val="hlink"/>
        </w14:solidFill>
      </w14:textFill>
    </w:rPr>
  </w:style>
  <w:style w:type="character" w:styleId="20">
    <w:name w:val="annotation reference"/>
    <w:basedOn w:val="18"/>
    <w:semiHidden/>
    <w:unhideWhenUsed/>
    <w:qFormat/>
    <w:uiPriority w:val="99"/>
    <w:rPr>
      <w:sz w:val="21"/>
      <w:szCs w:val="21"/>
    </w:rPr>
  </w:style>
  <w:style w:type="character" w:customStyle="1" w:styleId="21">
    <w:name w:val="标题 2 Char"/>
    <w:basedOn w:val="18"/>
    <w:link w:val="4"/>
    <w:qFormat/>
    <w:uiPriority w:val="0"/>
    <w:rPr>
      <w:rFonts w:ascii="Arial" w:hAnsi="Arial" w:eastAsia="微软雅黑" w:cs="Times New Roman"/>
      <w:b/>
      <w:bCs/>
      <w:sz w:val="32"/>
      <w:szCs w:val="32"/>
      <w:lang w:val="zh-CN" w:eastAsia="zh-CN"/>
    </w:rPr>
  </w:style>
  <w:style w:type="paragraph" w:customStyle="1" w:styleId="22">
    <w:name w:val="标题2 合并"/>
    <w:basedOn w:val="1"/>
    <w:next w:val="23"/>
    <w:link w:val="24"/>
    <w:qFormat/>
    <w:uiPriority w:val="0"/>
    <w:pPr>
      <w:numPr>
        <w:ilvl w:val="0"/>
        <w:numId w:val="1"/>
      </w:numPr>
      <w:spacing w:line="360" w:lineRule="auto"/>
      <w:outlineLvl w:val="2"/>
    </w:pPr>
    <w:rPr>
      <w:rFonts w:ascii="Times New Roman" w:hAnsi="Times New Roman" w:eastAsia="黑体" w:cs="Times New Roman"/>
      <w:b/>
      <w:sz w:val="28"/>
      <w:szCs w:val="20"/>
    </w:rPr>
  </w:style>
  <w:style w:type="paragraph" w:customStyle="1" w:styleId="23">
    <w:name w:val="文本spk"/>
    <w:basedOn w:val="1"/>
    <w:link w:val="40"/>
    <w:qFormat/>
    <w:uiPriority w:val="0"/>
    <w:pPr>
      <w:autoSpaceDE w:val="0"/>
      <w:autoSpaceDN w:val="0"/>
      <w:adjustRightInd w:val="0"/>
      <w:spacing w:line="360" w:lineRule="auto"/>
      <w:ind w:left="1247"/>
    </w:pPr>
    <w:rPr>
      <w:rFonts w:ascii="Times New Roman" w:hAnsi="Times New Roman" w:eastAsia="宋体" w:cs="Times New Roman"/>
      <w:sz w:val="28"/>
      <w:szCs w:val="20"/>
    </w:rPr>
  </w:style>
  <w:style w:type="character" w:customStyle="1" w:styleId="24">
    <w:name w:val="标题2 合并 字符"/>
    <w:link w:val="22"/>
    <w:qFormat/>
    <w:uiPriority w:val="0"/>
    <w:rPr>
      <w:rFonts w:ascii="Times New Roman" w:hAnsi="Times New Roman" w:eastAsia="黑体" w:cs="Times New Roman"/>
      <w:b/>
      <w:kern w:val="2"/>
      <w:sz w:val="28"/>
    </w:rPr>
  </w:style>
  <w:style w:type="character" w:customStyle="1" w:styleId="25">
    <w:name w:val="页眉 Char"/>
    <w:basedOn w:val="18"/>
    <w:link w:val="11"/>
    <w:qFormat/>
    <w:uiPriority w:val="99"/>
    <w:rPr>
      <w:sz w:val="18"/>
      <w:szCs w:val="18"/>
    </w:rPr>
  </w:style>
  <w:style w:type="character" w:customStyle="1" w:styleId="26">
    <w:name w:val="页脚 Char"/>
    <w:basedOn w:val="18"/>
    <w:link w:val="10"/>
    <w:qFormat/>
    <w:uiPriority w:val="99"/>
    <w:rPr>
      <w:sz w:val="18"/>
      <w:szCs w:val="18"/>
    </w:rPr>
  </w:style>
  <w:style w:type="character" w:customStyle="1" w:styleId="27">
    <w:name w:val="表格文字 Char"/>
    <w:link w:val="28"/>
    <w:qFormat/>
    <w:uiPriority w:val="0"/>
    <w:rPr>
      <w:rFonts w:eastAsia="仿宋"/>
      <w:color w:val="000000"/>
      <w:szCs w:val="24"/>
    </w:rPr>
  </w:style>
  <w:style w:type="paragraph" w:customStyle="1" w:styleId="28">
    <w:name w:val="表格文字"/>
    <w:basedOn w:val="1"/>
    <w:link w:val="27"/>
    <w:qFormat/>
    <w:uiPriority w:val="0"/>
    <w:pPr>
      <w:adjustRightInd w:val="0"/>
      <w:jc w:val="center"/>
      <w:textAlignment w:val="baseline"/>
    </w:pPr>
    <w:rPr>
      <w:rFonts w:eastAsia="仿宋"/>
      <w:color w:val="000000"/>
      <w:szCs w:val="24"/>
    </w:rPr>
  </w:style>
  <w:style w:type="character" w:customStyle="1" w:styleId="29">
    <w:name w:val="日期 Char"/>
    <w:basedOn w:val="18"/>
    <w:link w:val="8"/>
    <w:semiHidden/>
    <w:qFormat/>
    <w:uiPriority w:val="99"/>
  </w:style>
  <w:style w:type="character" w:customStyle="1" w:styleId="30">
    <w:name w:val="批注文字 Char"/>
    <w:basedOn w:val="18"/>
    <w:link w:val="6"/>
    <w:semiHidden/>
    <w:qFormat/>
    <w:uiPriority w:val="99"/>
  </w:style>
  <w:style w:type="character" w:customStyle="1" w:styleId="31">
    <w:name w:val="批注主题 Char"/>
    <w:basedOn w:val="30"/>
    <w:link w:val="15"/>
    <w:semiHidden/>
    <w:qFormat/>
    <w:uiPriority w:val="99"/>
    <w:rPr>
      <w:b/>
      <w:bCs/>
    </w:rPr>
  </w:style>
  <w:style w:type="character" w:customStyle="1" w:styleId="32">
    <w:name w:val="标题 3 Char"/>
    <w:basedOn w:val="18"/>
    <w:link w:val="2"/>
    <w:qFormat/>
    <w:uiPriority w:val="9"/>
    <w:rPr>
      <w:b/>
      <w:bCs/>
      <w:sz w:val="32"/>
      <w:szCs w:val="32"/>
    </w:rPr>
  </w:style>
  <w:style w:type="paragraph" w:styleId="33">
    <w:name w:val="List Paragraph"/>
    <w:basedOn w:val="1"/>
    <w:qFormat/>
    <w:uiPriority w:val="34"/>
    <w:pPr>
      <w:ind w:firstLine="420" w:firstLineChars="200"/>
    </w:pPr>
  </w:style>
  <w:style w:type="paragraph" w:customStyle="1" w:styleId="34">
    <w:name w:val="报告正文"/>
    <w:basedOn w:val="1"/>
    <w:link w:val="51"/>
    <w:qFormat/>
    <w:uiPriority w:val="0"/>
    <w:pPr>
      <w:adjustRightInd w:val="0"/>
      <w:snapToGrid w:val="0"/>
      <w:spacing w:line="560" w:lineRule="exact"/>
      <w:ind w:firstLine="640" w:firstLineChars="200"/>
    </w:pPr>
    <w:rPr>
      <w:rFonts w:ascii="仿宋_GB2312" w:hAnsi="仿宋" w:eastAsia="仿宋_GB2312" w:cs="Times New Roman"/>
      <w:bCs/>
      <w:color w:val="000000" w:themeColor="text1"/>
      <w:kern w:val="0"/>
      <w:sz w:val="32"/>
      <w:szCs w:val="32"/>
      <w14:textFill>
        <w14:solidFill>
          <w14:schemeClr w14:val="tx1"/>
        </w14:solidFill>
      </w14:textFill>
    </w:rPr>
  </w:style>
  <w:style w:type="paragraph" w:customStyle="1" w:styleId="35">
    <w:name w:val="WPSOffice手动目录 1"/>
    <w:qFormat/>
    <w:uiPriority w:val="0"/>
    <w:rPr>
      <w:rFonts w:asciiTheme="minorHAnsi" w:hAnsiTheme="minorHAnsi" w:eastAsiaTheme="minorEastAsia" w:cstheme="minorBidi"/>
      <w:lang w:val="en-US" w:eastAsia="zh-CN" w:bidi="ar-SA"/>
    </w:rPr>
  </w:style>
  <w:style w:type="paragraph" w:customStyle="1" w:styleId="36">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7">
    <w:name w:val="WPSOffice手动目录 3"/>
    <w:qFormat/>
    <w:uiPriority w:val="0"/>
    <w:pPr>
      <w:ind w:left="400" w:leftChars="400"/>
    </w:pPr>
    <w:rPr>
      <w:rFonts w:asciiTheme="minorHAnsi" w:hAnsiTheme="minorHAnsi" w:eastAsiaTheme="minorEastAsia" w:cstheme="minorBidi"/>
      <w:lang w:val="en-US" w:eastAsia="zh-CN" w:bidi="ar-SA"/>
    </w:rPr>
  </w:style>
  <w:style w:type="paragraph" w:customStyle="1" w:styleId="38">
    <w:name w:val="简本正文"/>
    <w:link w:val="41"/>
    <w:qFormat/>
    <w:uiPriority w:val="0"/>
    <w:pPr>
      <w:ind w:firstLine="602" w:firstLineChars="200"/>
    </w:pPr>
    <w:rPr>
      <w:rFonts w:ascii="Times New Roman" w:hAnsi="Times New Roman" w:eastAsia="仿宋" w:cs="Times New Roman"/>
      <w:kern w:val="2"/>
      <w:sz w:val="30"/>
      <w:szCs w:val="30"/>
      <w:lang w:val="en-US" w:eastAsia="zh-CN" w:bidi="ar-SA"/>
    </w:rPr>
  </w:style>
  <w:style w:type="paragraph" w:customStyle="1" w:styleId="39">
    <w:name w:val="表格内容"/>
    <w:link w:val="42"/>
    <w:qFormat/>
    <w:uiPriority w:val="0"/>
    <w:pPr>
      <w:spacing w:line="276" w:lineRule="auto"/>
      <w:jc w:val="center"/>
    </w:pPr>
    <w:rPr>
      <w:rFonts w:ascii="Times New Roman" w:hAnsi="Times New Roman" w:eastAsia="宋体" w:cs="Times New Roman"/>
      <w:kern w:val="2"/>
      <w:sz w:val="24"/>
      <w:szCs w:val="24"/>
      <w:lang w:val="en-US" w:eastAsia="zh-CN" w:bidi="ar-SA"/>
    </w:rPr>
  </w:style>
  <w:style w:type="character" w:customStyle="1" w:styleId="40">
    <w:name w:val="文本spk 字符"/>
    <w:basedOn w:val="18"/>
    <w:link w:val="23"/>
    <w:qFormat/>
    <w:uiPriority w:val="0"/>
    <w:rPr>
      <w:rFonts w:ascii="Times New Roman" w:hAnsi="Times New Roman" w:eastAsia="宋体" w:cs="Times New Roman"/>
      <w:kern w:val="2"/>
      <w:sz w:val="28"/>
    </w:rPr>
  </w:style>
  <w:style w:type="character" w:customStyle="1" w:styleId="41">
    <w:name w:val="简本正文 字符"/>
    <w:basedOn w:val="40"/>
    <w:link w:val="38"/>
    <w:qFormat/>
    <w:uiPriority w:val="0"/>
    <w:rPr>
      <w:rFonts w:ascii="Times New Roman" w:hAnsi="Times New Roman" w:eastAsia="仿宋" w:cs="Times New Roman"/>
      <w:kern w:val="2"/>
      <w:sz w:val="30"/>
      <w:szCs w:val="30"/>
    </w:rPr>
  </w:style>
  <w:style w:type="character" w:customStyle="1" w:styleId="42">
    <w:name w:val="表格内容 Char"/>
    <w:basedOn w:val="18"/>
    <w:link w:val="39"/>
    <w:qFormat/>
    <w:uiPriority w:val="0"/>
    <w:rPr>
      <w:rFonts w:ascii="Times New Roman" w:hAnsi="Times New Roman" w:eastAsia="宋体" w:cs="Times New Roman"/>
      <w:kern w:val="2"/>
      <w:sz w:val="24"/>
      <w:szCs w:val="24"/>
    </w:rPr>
  </w:style>
  <w:style w:type="character" w:customStyle="1" w:styleId="43">
    <w:name w:val="标题 4 Char"/>
    <w:basedOn w:val="18"/>
    <w:link w:val="5"/>
    <w:semiHidden/>
    <w:qFormat/>
    <w:uiPriority w:val="9"/>
    <w:rPr>
      <w:rFonts w:asciiTheme="majorHAnsi" w:hAnsiTheme="majorHAnsi" w:eastAsiaTheme="majorEastAsia" w:cstheme="majorBidi"/>
      <w:b/>
      <w:bCs/>
      <w:kern w:val="2"/>
      <w:sz w:val="28"/>
      <w:szCs w:val="28"/>
    </w:rPr>
  </w:style>
  <w:style w:type="paragraph" w:customStyle="1" w:styleId="44">
    <w:name w:val="表格标题"/>
    <w:basedOn w:val="1"/>
    <w:link w:val="45"/>
    <w:qFormat/>
    <w:uiPriority w:val="0"/>
    <w:pPr>
      <w:widowControl/>
      <w:adjustRightInd w:val="0"/>
      <w:snapToGrid w:val="0"/>
      <w:spacing w:line="288" w:lineRule="auto"/>
      <w:contextualSpacing/>
      <w:jc w:val="right"/>
      <w:outlineLvl w:val="4"/>
    </w:pPr>
    <w:rPr>
      <w:rFonts w:ascii="Times New Roman" w:hAnsi="Times New Roman" w:eastAsia="宋体" w:cs="Times New Roman"/>
      <w:b/>
      <w:sz w:val="24"/>
    </w:rPr>
  </w:style>
  <w:style w:type="character" w:customStyle="1" w:styleId="45">
    <w:name w:val="表格标题 字符"/>
    <w:basedOn w:val="18"/>
    <w:link w:val="44"/>
    <w:qFormat/>
    <w:uiPriority w:val="0"/>
    <w:rPr>
      <w:rFonts w:ascii="Times New Roman" w:hAnsi="Times New Roman" w:eastAsia="宋体" w:cs="Times New Roman"/>
      <w:b/>
      <w:kern w:val="2"/>
      <w:sz w:val="24"/>
      <w:szCs w:val="22"/>
    </w:rPr>
  </w:style>
  <w:style w:type="character" w:customStyle="1" w:styleId="46">
    <w:name w:val="标题 1 Char"/>
    <w:basedOn w:val="18"/>
    <w:link w:val="3"/>
    <w:qFormat/>
    <w:uiPriority w:val="9"/>
    <w:rPr>
      <w:b/>
      <w:bCs/>
      <w:kern w:val="44"/>
      <w:sz w:val="44"/>
      <w:szCs w:val="44"/>
    </w:rPr>
  </w:style>
  <w:style w:type="paragraph" w:customStyle="1" w:styleId="47">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8">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9">
    <w:name w:val="未处理的提及1"/>
    <w:basedOn w:val="18"/>
    <w:semiHidden/>
    <w:unhideWhenUsed/>
    <w:qFormat/>
    <w:uiPriority w:val="99"/>
    <w:rPr>
      <w:color w:val="605E5C"/>
      <w:shd w:val="clear" w:color="auto" w:fill="E1DFDD"/>
    </w:rPr>
  </w:style>
  <w:style w:type="character" w:customStyle="1" w:styleId="50">
    <w:name w:val="批注框文本 Char"/>
    <w:basedOn w:val="18"/>
    <w:link w:val="9"/>
    <w:semiHidden/>
    <w:qFormat/>
    <w:uiPriority w:val="99"/>
    <w:rPr>
      <w:kern w:val="2"/>
      <w:sz w:val="18"/>
      <w:szCs w:val="18"/>
    </w:rPr>
  </w:style>
  <w:style w:type="character" w:customStyle="1" w:styleId="51">
    <w:name w:val="报告正文 Char"/>
    <w:link w:val="34"/>
    <w:qFormat/>
    <w:uiPriority w:val="0"/>
    <w:rPr>
      <w:rFonts w:ascii="仿宋_GB2312" w:hAnsi="仿宋" w:eastAsia="仿宋_GB2312" w:cs="Times New Roman"/>
      <w:bCs/>
      <w:color w:val="000000" w:themeColor="text1"/>
      <w:sz w:val="32"/>
      <w:szCs w:val="32"/>
      <w14:textFill>
        <w14:solidFill>
          <w14:schemeClr w14:val="tx1"/>
        </w14:solidFill>
      </w14:textFill>
    </w:rPr>
  </w:style>
  <w:style w:type="paragraph" w:customStyle="1" w:styleId="52">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582</Words>
  <Characters>3322</Characters>
  <Lines>27</Lines>
  <Paragraphs>7</Paragraphs>
  <TotalTime>3</TotalTime>
  <ScaleCrop>false</ScaleCrop>
  <LinksUpToDate>false</LinksUpToDate>
  <CharactersWithSpaces>3897</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2024-10-15T03:04:00Z</dcterms:created>
  <dc:creator>张 鹏</dc:creator>
  <cp:lastModifiedBy>文管办</cp:lastModifiedBy>
  <cp:lastPrinted>2024-03-16T09:43:00Z</cp:lastPrinted>
  <dcterms:modified xsi:type="dcterms:W3CDTF">2025-04-28T16:30:57Z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AC5DC4A273F7464E81EB6C09643AD403_13</vt:lpwstr>
  </property>
</Properties>
</file>