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AD6252">
      <w:pPr>
        <w:spacing w:line="580" w:lineRule="exact"/>
        <w:outlineLvl w:val="0"/>
        <w:rPr>
          <w:rFonts w:hint="eastAsia" w:ascii="黑体" w:hAnsi="黑体" w:eastAsia="黑体" w:cs="黑体"/>
        </w:rPr>
      </w:pPr>
      <w:r>
        <w:rPr>
          <w:rFonts w:hint="eastAsia" w:ascii="黑体" w:hAnsi="黑体" w:eastAsia="黑体" w:cs="黑体"/>
          <w:szCs w:val="32"/>
        </w:rPr>
        <w:t>附件2</w:t>
      </w:r>
    </w:p>
    <w:p w14:paraId="160CF635">
      <w:pPr>
        <w:pStyle w:val="11"/>
        <w:spacing w:line="580" w:lineRule="exact"/>
        <w:ind w:firstLine="0" w:firstLineChars="0"/>
      </w:pPr>
    </w:p>
    <w:p w14:paraId="2B7D819E">
      <w:pPr>
        <w:spacing w:line="580" w:lineRule="exact"/>
        <w:jc w:val="center"/>
        <w:outlineLvl w:val="0"/>
        <w:rPr>
          <w:rFonts w:hint="eastAsia" w:ascii="方正小标宋简体" w:hAnsi="方正小标宋简体" w:eastAsia="方正小标宋简体" w:cs="方正小标宋简体"/>
          <w:bCs/>
          <w:snapToGrid w:val="0"/>
          <w:kern w:val="0"/>
          <w:sz w:val="44"/>
          <w:szCs w:val="44"/>
          <w:lang w:eastAsia="zh-CN"/>
        </w:rPr>
      </w:pPr>
      <w:r>
        <w:rPr>
          <w:rFonts w:hint="eastAsia" w:ascii="方正小标宋简体" w:hAnsi="方正小标宋简体" w:eastAsia="方正小标宋简体" w:cs="方正小标宋简体"/>
          <w:bCs/>
          <w:snapToGrid w:val="0"/>
          <w:kern w:val="0"/>
          <w:sz w:val="44"/>
          <w:szCs w:val="44"/>
        </w:rPr>
        <w:t>2025年深圳技能大赛—宝安区</w:t>
      </w:r>
      <w:r>
        <w:rPr>
          <w:rFonts w:hint="eastAsia" w:ascii="方正小标宋简体" w:hAnsi="方正小标宋简体" w:eastAsia="方正小标宋简体" w:cs="方正小标宋简体"/>
          <w:bCs/>
          <w:snapToGrid w:val="0"/>
          <w:kern w:val="0"/>
          <w:sz w:val="44"/>
          <w:szCs w:val="44"/>
          <w:lang w:eastAsia="zh-CN"/>
        </w:rPr>
        <w:t>智能硬件</w:t>
      </w:r>
    </w:p>
    <w:p w14:paraId="0FC4AC99">
      <w:pPr>
        <w:spacing w:line="580" w:lineRule="exact"/>
        <w:jc w:val="center"/>
        <w:outlineLvl w:val="0"/>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napToGrid w:val="0"/>
          <w:kern w:val="0"/>
          <w:sz w:val="44"/>
          <w:szCs w:val="44"/>
          <w:lang w:eastAsia="zh-CN"/>
        </w:rPr>
        <w:t>装调员（集成电路方向）</w:t>
      </w:r>
      <w:r>
        <w:rPr>
          <w:rFonts w:hint="eastAsia" w:ascii="方正小标宋简体" w:hAnsi="方正小标宋简体" w:eastAsia="方正小标宋简体" w:cs="方正小标宋简体"/>
          <w:bCs/>
          <w:sz w:val="44"/>
          <w:szCs w:val="44"/>
        </w:rPr>
        <w:t>职业技能</w:t>
      </w:r>
    </w:p>
    <w:p w14:paraId="7157E8BC">
      <w:pPr>
        <w:spacing w:line="580" w:lineRule="exact"/>
        <w:jc w:val="center"/>
        <w:outlineLvl w:val="0"/>
        <w:rPr>
          <w:rFonts w:hint="eastAsia" w:ascii="方正小标宋简体" w:hAnsi="方正小标宋简体" w:eastAsia="方正小标宋简体" w:cs="方正小标宋简体"/>
          <w:bCs/>
          <w:sz w:val="44"/>
          <w:szCs w:val="44"/>
          <w:lang w:val="en-AU"/>
        </w:rPr>
      </w:pPr>
      <w:r>
        <w:rPr>
          <w:rFonts w:hint="eastAsia" w:ascii="方正小标宋简体" w:hAnsi="方正小标宋简体" w:eastAsia="方正小标宋简体" w:cs="方正小标宋简体"/>
          <w:bCs/>
          <w:sz w:val="44"/>
          <w:szCs w:val="44"/>
        </w:rPr>
        <w:t>竞赛</w:t>
      </w:r>
      <w:r>
        <w:rPr>
          <w:rFonts w:hint="eastAsia" w:ascii="方正小标宋简体" w:hAnsi="方正小标宋简体" w:eastAsia="方正小标宋简体" w:cs="方正小标宋简体"/>
          <w:bCs/>
          <w:sz w:val="44"/>
          <w:szCs w:val="44"/>
          <w:lang w:val="en-AU"/>
        </w:rPr>
        <w:t>技术文件</w:t>
      </w:r>
    </w:p>
    <w:p w14:paraId="54887626">
      <w:pPr>
        <w:spacing w:line="580" w:lineRule="exact"/>
        <w:rPr>
          <w:rFonts w:hint="eastAsia" w:ascii="微软雅黑" w:hAnsi="微软雅黑" w:eastAsia="微软雅黑" w:cs="微软雅黑"/>
          <w:bCs/>
          <w:sz w:val="44"/>
          <w:szCs w:val="44"/>
          <w:lang w:val="en-AU"/>
        </w:rPr>
      </w:pPr>
    </w:p>
    <w:p w14:paraId="12296168">
      <w:pPr>
        <w:pStyle w:val="9"/>
        <w:spacing w:line="580" w:lineRule="exact"/>
        <w:rPr>
          <w:rFonts w:ascii="Times New Roman" w:hAnsi="Times New Roman" w:eastAsia="微软雅黑" w:cs="Times New Roman"/>
          <w:color w:val="auto"/>
          <w:lang w:eastAsia="zh-CN"/>
        </w:rPr>
      </w:pPr>
    </w:p>
    <w:p w14:paraId="588A7ED7">
      <w:pPr>
        <w:spacing w:line="580" w:lineRule="exact"/>
        <w:rPr>
          <w:lang w:val="en-AU"/>
        </w:rPr>
      </w:pPr>
    </w:p>
    <w:p w14:paraId="5430D073">
      <w:pPr>
        <w:spacing w:line="580" w:lineRule="exact"/>
        <w:rPr>
          <w:lang w:val="en-AU"/>
        </w:rPr>
      </w:pPr>
    </w:p>
    <w:p w14:paraId="6FB9BD84">
      <w:pPr>
        <w:spacing w:line="580" w:lineRule="exact"/>
        <w:rPr>
          <w:lang w:val="en-AU"/>
        </w:rPr>
      </w:pPr>
    </w:p>
    <w:p w14:paraId="43A866D1">
      <w:pPr>
        <w:spacing w:line="580" w:lineRule="exact"/>
        <w:rPr>
          <w:lang w:val="en-AU"/>
        </w:rPr>
      </w:pPr>
    </w:p>
    <w:p w14:paraId="2E7D2F20">
      <w:pPr>
        <w:spacing w:line="580" w:lineRule="exact"/>
        <w:rPr>
          <w:lang w:val="en-AU"/>
        </w:rPr>
      </w:pPr>
    </w:p>
    <w:p w14:paraId="1385B83E">
      <w:pPr>
        <w:spacing w:line="580" w:lineRule="exact"/>
        <w:rPr>
          <w:lang w:val="en-AU"/>
        </w:rPr>
      </w:pPr>
    </w:p>
    <w:p w14:paraId="0BF9DF4B">
      <w:pPr>
        <w:pStyle w:val="11"/>
        <w:spacing w:line="580" w:lineRule="exact"/>
        <w:ind w:firstLine="0" w:firstLineChars="0"/>
        <w:rPr>
          <w:rFonts w:ascii="Times New Roman" w:hAnsi="Times New Roman"/>
          <w:lang w:val="en-AU"/>
        </w:rPr>
      </w:pPr>
    </w:p>
    <w:p w14:paraId="0BF7FFA4">
      <w:pPr>
        <w:pStyle w:val="11"/>
        <w:spacing w:line="580" w:lineRule="exact"/>
        <w:ind w:firstLine="0" w:firstLineChars="0"/>
        <w:rPr>
          <w:rFonts w:ascii="Times New Roman" w:hAnsi="Times New Roman"/>
          <w:lang w:val="en-AU"/>
        </w:rPr>
      </w:pPr>
    </w:p>
    <w:p w14:paraId="4416DD51">
      <w:pPr>
        <w:pStyle w:val="11"/>
        <w:spacing w:line="580" w:lineRule="exact"/>
        <w:ind w:firstLine="0" w:firstLineChars="0"/>
        <w:rPr>
          <w:rFonts w:ascii="Times New Roman" w:hAnsi="Times New Roman"/>
          <w:lang w:val="en-AU"/>
        </w:rPr>
      </w:pPr>
    </w:p>
    <w:p w14:paraId="3C3542BE">
      <w:pPr>
        <w:pStyle w:val="11"/>
        <w:spacing w:line="580" w:lineRule="exact"/>
        <w:ind w:firstLine="0" w:firstLineChars="0"/>
        <w:rPr>
          <w:rFonts w:ascii="Times New Roman" w:hAnsi="Times New Roman"/>
          <w:lang w:val="en-AU"/>
        </w:rPr>
      </w:pPr>
    </w:p>
    <w:p w14:paraId="2D49FC92">
      <w:pPr>
        <w:rPr>
          <w:lang w:val="en-AU"/>
        </w:rPr>
      </w:pPr>
    </w:p>
    <w:p w14:paraId="624E5674">
      <w:pPr>
        <w:spacing w:line="580" w:lineRule="exact"/>
        <w:rPr>
          <w:lang w:val="en-AU"/>
        </w:rPr>
      </w:pPr>
    </w:p>
    <w:p w14:paraId="33A335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cs="仿宋_GB2312"/>
          <w:szCs w:val="32"/>
        </w:rPr>
      </w:pPr>
      <w:r>
        <w:rPr>
          <w:rFonts w:hint="eastAsia" w:ascii="仿宋_GB2312" w:hAnsi="仿宋_GB2312" w:cs="仿宋_GB2312"/>
          <w:szCs w:val="32"/>
        </w:rPr>
        <w:t>2025年深圳技能大赛—宝安区智能硬件装调员</w:t>
      </w:r>
    </w:p>
    <w:p w14:paraId="2126016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cs="仿宋_GB2312"/>
          <w:szCs w:val="32"/>
        </w:rPr>
      </w:pPr>
      <w:r>
        <w:rPr>
          <w:rFonts w:hint="eastAsia" w:ascii="仿宋_GB2312" w:hAnsi="仿宋_GB2312" w:cs="仿宋_GB2312"/>
          <w:szCs w:val="32"/>
        </w:rPr>
        <w:t>（集成电路方向）职业技能竞赛执委会</w:t>
      </w:r>
    </w:p>
    <w:p w14:paraId="4A107DF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cs="仿宋_GB2312"/>
          <w:szCs w:val="32"/>
          <w:lang w:val="en-AU"/>
        </w:rPr>
      </w:pPr>
      <w:r>
        <w:rPr>
          <w:rFonts w:hint="eastAsia" w:ascii="仿宋_GB2312" w:hAnsi="仿宋_GB2312" w:cs="仿宋_GB2312"/>
          <w:szCs w:val="32"/>
          <w:lang w:val="en-AU"/>
        </w:rPr>
        <w:t>202</w:t>
      </w:r>
      <w:r>
        <w:rPr>
          <w:rFonts w:hint="eastAsia" w:ascii="仿宋_GB2312" w:hAnsi="仿宋_GB2312" w:cs="仿宋_GB2312"/>
          <w:szCs w:val="32"/>
        </w:rPr>
        <w:t>5</w:t>
      </w:r>
      <w:r>
        <w:rPr>
          <w:rFonts w:hint="eastAsia" w:ascii="仿宋_GB2312" w:hAnsi="仿宋_GB2312" w:cs="仿宋_GB2312"/>
          <w:szCs w:val="32"/>
          <w:lang w:val="en-AU"/>
        </w:rPr>
        <w:t>年</w:t>
      </w:r>
      <w:r>
        <w:rPr>
          <w:rFonts w:hint="eastAsia" w:ascii="仿宋_GB2312" w:hAnsi="仿宋_GB2312" w:cs="仿宋_GB2312"/>
          <w:szCs w:val="32"/>
        </w:rPr>
        <w:t>9</w:t>
      </w:r>
      <w:r>
        <w:rPr>
          <w:rFonts w:hint="eastAsia" w:ascii="仿宋_GB2312" w:hAnsi="仿宋_GB2312" w:cs="仿宋_GB2312"/>
          <w:szCs w:val="32"/>
          <w:lang w:val="en-AU"/>
        </w:rPr>
        <w:t>月</w:t>
      </w:r>
    </w:p>
    <w:p w14:paraId="75BC8939">
      <w:pPr>
        <w:spacing w:line="580" w:lineRule="exact"/>
        <w:rPr>
          <w:rFonts w:hint="eastAsia" w:ascii="仿宋_GB2312" w:hAnsi="仿宋_GB2312" w:cs="仿宋_GB2312"/>
          <w:szCs w:val="32"/>
          <w:lang w:val="en-AU"/>
        </w:rPr>
      </w:pPr>
    </w:p>
    <w:p w14:paraId="5CE94784">
      <w:pPr>
        <w:spacing w:line="580" w:lineRule="exact"/>
        <w:rPr>
          <w:rFonts w:eastAsia="黑体"/>
          <w:bCs/>
          <w:szCs w:val="32"/>
        </w:rPr>
        <w:sectPr>
          <w:pgSz w:w="11906" w:h="16838"/>
          <w:pgMar w:top="1440" w:right="1800" w:bottom="1440" w:left="1800" w:header="851" w:footer="992" w:gutter="0"/>
          <w:cols w:space="720" w:num="1"/>
          <w:docGrid w:type="lines" w:linePitch="312" w:charSpace="0"/>
        </w:sectPr>
      </w:pPr>
    </w:p>
    <w:p w14:paraId="7C697D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eastAsia="黑体"/>
          <w:bCs/>
          <w:szCs w:val="32"/>
        </w:rPr>
      </w:pPr>
      <w:r>
        <w:rPr>
          <w:rFonts w:eastAsia="黑体"/>
          <w:bCs/>
          <w:szCs w:val="32"/>
        </w:rPr>
        <w:t>一、技术描述</w:t>
      </w:r>
    </w:p>
    <w:p w14:paraId="760EDB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1"/>
        <w:rPr>
          <w:rFonts w:eastAsia="楷体_GB2312"/>
          <w:szCs w:val="32"/>
        </w:rPr>
      </w:pPr>
      <w:r>
        <w:rPr>
          <w:rFonts w:eastAsia="楷体_GB2312"/>
          <w:szCs w:val="32"/>
        </w:rPr>
        <w:t>（一）项目概要</w:t>
      </w:r>
    </w:p>
    <w:p w14:paraId="3318267C">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rPr>
      </w:pPr>
      <w:r>
        <w:rPr>
          <w:rFonts w:hint="eastAsia" w:ascii="仿宋_GB2312" w:hAnsi="仿宋_GB2312" w:cs="仿宋_GB2312"/>
          <w:szCs w:val="32"/>
          <w:lang w:val="en-US" w:eastAsia="zh-CN"/>
        </w:rPr>
        <w:t xml:space="preserve">    </w:t>
      </w:r>
      <w:r>
        <w:rPr>
          <w:rFonts w:hint="eastAsia" w:ascii="仿宋_GB2312" w:hAnsi="仿宋_GB2312" w:cs="仿宋_GB2312"/>
          <w:szCs w:val="32"/>
        </w:rPr>
        <w:t>智能硬件装调员（集成电路方向）</w:t>
      </w:r>
      <w:r>
        <w:rPr>
          <w:rFonts w:hint="eastAsia"/>
        </w:rPr>
        <w:t>赛项围绕微控制器核心板及配套智能硬件模块，重点考察选手在智能硬件装调领域的综合应用能力。竞赛具体通过对开发系统的组装连接、驱动程序的编写调试、系统功能实现等实操环节，以及创新功能开发与项目技术文档撰写等任务，全面评估选手的专业素养与技能水平。</w:t>
      </w:r>
    </w:p>
    <w:p w14:paraId="408921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1"/>
        <w:rPr>
          <w:rFonts w:eastAsia="楷体_GB2312"/>
          <w:szCs w:val="32"/>
        </w:rPr>
      </w:pPr>
      <w:r>
        <w:rPr>
          <w:rFonts w:hint="eastAsia" w:eastAsia="楷体_GB2312"/>
          <w:szCs w:val="32"/>
        </w:rPr>
        <w:t>（二）</w:t>
      </w:r>
      <w:r>
        <w:rPr>
          <w:rFonts w:eastAsia="楷体_GB2312"/>
          <w:szCs w:val="32"/>
        </w:rPr>
        <w:t>基本知识及能力要求</w:t>
      </w:r>
    </w:p>
    <w:tbl>
      <w:tblPr>
        <w:tblStyle w:val="12"/>
        <w:tblW w:w="49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5926"/>
        <w:gridCol w:w="1764"/>
      </w:tblGrid>
      <w:tr w14:paraId="223E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3953" w:type="pct"/>
            <w:gridSpan w:val="2"/>
            <w:tcBorders>
              <w:top w:val="single" w:color="auto" w:sz="4" w:space="0"/>
              <w:left w:val="single" w:color="auto" w:sz="4" w:space="0"/>
              <w:bottom w:val="single" w:color="auto" w:sz="4" w:space="0"/>
              <w:right w:val="single" w:color="auto" w:sz="4" w:space="0"/>
            </w:tcBorders>
            <w:vAlign w:val="center"/>
          </w:tcPr>
          <w:p w14:paraId="74945C15">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color w:val="auto"/>
                <w:sz w:val="24"/>
                <w:szCs w:val="24"/>
                <w:lang w:eastAsia="zh-CN"/>
              </w:rPr>
            </w:pPr>
            <w:r>
              <w:rPr>
                <w:rFonts w:hint="eastAsia" w:ascii="仿宋_GB2312" w:hAnsi="仿宋_GB2312" w:eastAsia="仿宋_GB2312" w:cs="仿宋_GB2312"/>
                <w:b/>
                <w:color w:val="auto"/>
                <w:sz w:val="24"/>
                <w:szCs w:val="24"/>
                <w:lang w:eastAsia="zh-CN"/>
              </w:rPr>
              <w:t>相关要求</w:t>
            </w:r>
          </w:p>
        </w:tc>
        <w:tc>
          <w:tcPr>
            <w:tcW w:w="1046" w:type="pct"/>
            <w:tcBorders>
              <w:top w:val="single" w:color="auto" w:sz="4" w:space="0"/>
              <w:left w:val="single" w:color="auto" w:sz="4" w:space="0"/>
              <w:bottom w:val="single" w:color="auto" w:sz="4" w:space="0"/>
              <w:right w:val="single" w:color="auto" w:sz="4" w:space="0"/>
            </w:tcBorders>
            <w:vAlign w:val="center"/>
          </w:tcPr>
          <w:p w14:paraId="21E7F31A">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lang w:eastAsia="zh-CN"/>
              </w:rPr>
              <w:t>权重比例（</w:t>
            </w:r>
            <w:r>
              <w:rPr>
                <w:rFonts w:hint="eastAsia" w:ascii="仿宋_GB2312" w:hAnsi="仿宋_GB2312" w:eastAsia="仿宋_GB2312" w:cs="仿宋_GB2312"/>
                <w:b/>
                <w:color w:val="auto"/>
                <w:sz w:val="24"/>
                <w:szCs w:val="24"/>
                <w:lang w:val="en-US" w:eastAsia="zh-CN"/>
              </w:rPr>
              <w:t>%</w:t>
            </w:r>
            <w:r>
              <w:rPr>
                <w:rFonts w:hint="eastAsia" w:ascii="仿宋_GB2312" w:hAnsi="仿宋_GB2312" w:eastAsia="仿宋_GB2312" w:cs="仿宋_GB2312"/>
                <w:b/>
                <w:color w:val="auto"/>
                <w:sz w:val="24"/>
                <w:szCs w:val="24"/>
                <w:lang w:eastAsia="zh-CN"/>
              </w:rPr>
              <w:t>）</w:t>
            </w:r>
          </w:p>
        </w:tc>
      </w:tr>
      <w:tr w14:paraId="4845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0A6DCE4C">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1</w:t>
            </w:r>
          </w:p>
        </w:tc>
        <w:tc>
          <w:tcPr>
            <w:tcW w:w="3512" w:type="pct"/>
            <w:tcBorders>
              <w:top w:val="single" w:color="auto" w:sz="4" w:space="0"/>
              <w:left w:val="single" w:color="auto" w:sz="4" w:space="0"/>
              <w:bottom w:val="single" w:color="auto" w:sz="4" w:space="0"/>
              <w:right w:val="single" w:color="auto" w:sz="4" w:space="0"/>
            </w:tcBorders>
            <w:vAlign w:val="center"/>
          </w:tcPr>
          <w:p w14:paraId="23469356">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工作组织和管理</w:t>
            </w:r>
          </w:p>
        </w:tc>
        <w:tc>
          <w:tcPr>
            <w:tcW w:w="1046" w:type="pct"/>
            <w:vMerge w:val="restart"/>
            <w:tcBorders>
              <w:top w:val="single" w:color="auto" w:sz="4" w:space="0"/>
              <w:left w:val="single" w:color="auto" w:sz="4" w:space="0"/>
              <w:bottom w:val="single" w:color="auto" w:sz="4" w:space="0"/>
              <w:right w:val="single" w:color="auto" w:sz="4" w:space="0"/>
            </w:tcBorders>
            <w:vAlign w:val="center"/>
          </w:tcPr>
          <w:p w14:paraId="204D609B">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10</w:t>
            </w:r>
          </w:p>
        </w:tc>
      </w:tr>
      <w:tr w14:paraId="5FD8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4B23E1A8">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基本</w:t>
            </w:r>
          </w:p>
          <w:p w14:paraId="57C910E8">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知识</w:t>
            </w:r>
          </w:p>
        </w:tc>
        <w:tc>
          <w:tcPr>
            <w:tcW w:w="3512" w:type="pct"/>
            <w:tcBorders>
              <w:top w:val="single" w:color="auto" w:sz="4" w:space="0"/>
              <w:left w:val="single" w:color="auto" w:sz="4" w:space="0"/>
              <w:bottom w:val="single" w:color="auto" w:sz="4" w:space="0"/>
              <w:right w:val="single" w:color="auto" w:sz="4" w:space="0"/>
            </w:tcBorders>
            <w:vAlign w:val="center"/>
          </w:tcPr>
          <w:p w14:paraId="77CE317C">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健康和安全法规文件，安全用电工作的原则</w:t>
            </w:r>
          </w:p>
          <w:p w14:paraId="0D19DAF2">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所有工具和设备的储存及其安全含义</w:t>
            </w:r>
          </w:p>
          <w:p w14:paraId="1BEBD11C">
            <w:pPr>
              <w:keepNext w:val="0"/>
              <w:keepLines w:val="0"/>
              <w:pageBreakBefore w:val="0"/>
              <w:kinsoku/>
              <w:wordWrap/>
              <w:overflowPunct/>
              <w:topLinePunct w:val="0"/>
              <w:autoSpaceDE/>
              <w:autoSpaceDN/>
              <w:bidi w:val="0"/>
              <w:adjustRightInd/>
              <w:snapToGrid/>
              <w:spacing w:line="0" w:lineRule="atLeast"/>
              <w:ind w:left="240" w:hanging="240" w:hangingChars="100"/>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材料储存目的、用途、注意事项，保持工作区域整洁的重要性</w:t>
            </w:r>
          </w:p>
          <w:p w14:paraId="5708D28A">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保证质量，减少浪费和帮助管理成本的方法</w:t>
            </w:r>
          </w:p>
          <w:p w14:paraId="7AC39A3C">
            <w:pPr>
              <w:keepNext w:val="0"/>
              <w:keepLines w:val="0"/>
              <w:pageBreakBefore w:val="0"/>
              <w:kinsoku/>
              <w:wordWrap/>
              <w:overflowPunct/>
              <w:topLinePunct w:val="0"/>
              <w:autoSpaceDE/>
              <w:autoSpaceDN/>
              <w:bidi w:val="0"/>
              <w:adjustRightInd/>
              <w:snapToGrid/>
              <w:spacing w:line="0" w:lineRule="atLeast"/>
              <w:jc w:val="left"/>
              <w:textAlignment w:val="center"/>
              <w:rPr>
                <w:rStyle w:val="20"/>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所有工作中计划性、准确性、检查的重要性</w:t>
            </w:r>
          </w:p>
        </w:tc>
        <w:tc>
          <w:tcPr>
            <w:tcW w:w="1046" w:type="pct"/>
            <w:vMerge w:val="continue"/>
            <w:tcBorders>
              <w:top w:val="single" w:color="auto" w:sz="4" w:space="0"/>
              <w:left w:val="single" w:color="auto" w:sz="4" w:space="0"/>
              <w:bottom w:val="single" w:color="auto" w:sz="4" w:space="0"/>
              <w:right w:val="single" w:color="auto" w:sz="4" w:space="0"/>
            </w:tcBorders>
            <w:vAlign w:val="center"/>
          </w:tcPr>
          <w:p w14:paraId="24477C8B">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lang w:val="en-GB"/>
              </w:rPr>
            </w:pPr>
          </w:p>
        </w:tc>
      </w:tr>
      <w:tr w14:paraId="1015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00DC866E">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工作</w:t>
            </w:r>
          </w:p>
          <w:p w14:paraId="512A9A00">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能力</w:t>
            </w:r>
          </w:p>
        </w:tc>
        <w:tc>
          <w:tcPr>
            <w:tcW w:w="3512" w:type="pct"/>
            <w:tcBorders>
              <w:top w:val="single" w:color="auto" w:sz="4" w:space="0"/>
              <w:left w:val="single" w:color="auto" w:sz="4" w:space="0"/>
              <w:bottom w:val="single" w:color="auto" w:sz="4" w:space="0"/>
              <w:right w:val="single" w:color="auto" w:sz="4" w:space="0"/>
            </w:tcBorders>
            <w:vAlign w:val="center"/>
          </w:tcPr>
          <w:p w14:paraId="3612B040">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制定并遵守健康、安全和环境法规、标准和规则</w:t>
            </w:r>
          </w:p>
          <w:p w14:paraId="5FED0837">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严格遵守用电安全程序</w:t>
            </w:r>
          </w:p>
          <w:p w14:paraId="45E8EDB7">
            <w:pPr>
              <w:keepNext w:val="0"/>
              <w:keepLines w:val="0"/>
              <w:pageBreakBefore w:val="0"/>
              <w:kinsoku/>
              <w:wordWrap/>
              <w:overflowPunct/>
              <w:topLinePunct w:val="0"/>
              <w:autoSpaceDE/>
              <w:autoSpaceDN/>
              <w:bidi w:val="0"/>
              <w:adjustRightInd/>
              <w:snapToGrid/>
              <w:spacing w:line="0" w:lineRule="atLeast"/>
              <w:ind w:left="240" w:hanging="240" w:hangingChars="100"/>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选择、使用、清洁、维护，安全存放所有材料、工具和设备</w:t>
            </w:r>
          </w:p>
          <w:p w14:paraId="46E59860">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规划工作区域，提高效率并保持定期整理的纪律</w:t>
            </w:r>
          </w:p>
          <w:p w14:paraId="273092D4">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有效管理时间，高效工作并定期检查进度和结果</w:t>
            </w:r>
          </w:p>
          <w:p w14:paraId="00A3F713">
            <w:pPr>
              <w:pStyle w:val="19"/>
              <w:keepNext w:val="0"/>
              <w:keepLines w:val="0"/>
              <w:pageBreakBefore w:val="0"/>
              <w:numPr>
                <w:ilvl w:val="0"/>
                <w:numId w:val="0"/>
              </w:numPr>
              <w:kinsoku/>
              <w:wordWrap/>
              <w:overflowPunct/>
              <w:topLinePunct w:val="0"/>
              <w:autoSpaceDE/>
              <w:autoSpaceDN/>
              <w:bidi w:val="0"/>
              <w:adjustRightInd/>
              <w:snapToGrid/>
              <w:spacing w:after="0" w:line="0" w:lineRule="atLeast"/>
              <w:jc w:val="left"/>
              <w:textAlignment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Cs/>
                <w:sz w:val="24"/>
                <w:szCs w:val="24"/>
                <w:lang w:eastAsia="zh-CN"/>
              </w:rPr>
              <w:t>建立并持续保持高质量标准和工作流程</w:t>
            </w:r>
          </w:p>
        </w:tc>
        <w:tc>
          <w:tcPr>
            <w:tcW w:w="1046" w:type="pct"/>
            <w:vMerge w:val="continue"/>
            <w:tcBorders>
              <w:top w:val="single" w:color="auto" w:sz="4" w:space="0"/>
              <w:left w:val="single" w:color="auto" w:sz="4" w:space="0"/>
              <w:bottom w:val="single" w:color="auto" w:sz="4" w:space="0"/>
              <w:right w:val="single" w:color="auto" w:sz="4" w:space="0"/>
            </w:tcBorders>
            <w:vAlign w:val="center"/>
          </w:tcPr>
          <w:p w14:paraId="5B6DBDF5">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lang w:val="en-GB"/>
              </w:rPr>
            </w:pPr>
          </w:p>
        </w:tc>
      </w:tr>
      <w:tr w14:paraId="0C73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48774556">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val="en-US" w:eastAsia="zh-CN"/>
              </w:rPr>
              <w:t>2</w:t>
            </w:r>
          </w:p>
        </w:tc>
        <w:tc>
          <w:tcPr>
            <w:tcW w:w="3512" w:type="pct"/>
            <w:tcBorders>
              <w:top w:val="single" w:color="auto" w:sz="4" w:space="0"/>
              <w:left w:val="single" w:color="auto" w:sz="4" w:space="0"/>
              <w:bottom w:val="single" w:color="auto" w:sz="4" w:space="0"/>
              <w:right w:val="single" w:color="auto" w:sz="4" w:space="0"/>
            </w:tcBorders>
            <w:vAlign w:val="center"/>
          </w:tcPr>
          <w:p w14:paraId="17AD8A75">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智能硬件产品的设计</w:t>
            </w:r>
          </w:p>
        </w:tc>
        <w:tc>
          <w:tcPr>
            <w:tcW w:w="1046" w:type="pct"/>
            <w:vMerge w:val="restart"/>
            <w:tcBorders>
              <w:top w:val="single" w:color="auto" w:sz="4" w:space="0"/>
              <w:left w:val="single" w:color="auto" w:sz="4" w:space="0"/>
              <w:bottom w:val="single" w:color="auto" w:sz="4" w:space="0"/>
              <w:right w:val="single" w:color="auto" w:sz="4" w:space="0"/>
            </w:tcBorders>
            <w:vAlign w:val="center"/>
          </w:tcPr>
          <w:p w14:paraId="68B45DF8">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10</w:t>
            </w:r>
          </w:p>
        </w:tc>
      </w:tr>
      <w:tr w14:paraId="339A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37F129B1">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基本</w:t>
            </w:r>
          </w:p>
          <w:p w14:paraId="5531D87B">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知识</w:t>
            </w:r>
          </w:p>
        </w:tc>
        <w:tc>
          <w:tcPr>
            <w:tcW w:w="3512" w:type="pct"/>
            <w:tcBorders>
              <w:top w:val="single" w:color="auto" w:sz="4" w:space="0"/>
              <w:left w:val="single" w:color="auto" w:sz="4" w:space="0"/>
              <w:bottom w:val="single" w:color="auto" w:sz="4" w:space="0"/>
              <w:right w:val="single" w:color="auto" w:sz="4" w:space="0"/>
            </w:tcBorders>
            <w:vAlign w:val="center"/>
          </w:tcPr>
          <w:p w14:paraId="31CFCD6B">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Fonts w:hint="eastAsia" w:ascii="仿宋_GB2312" w:hAnsi="仿宋_GB2312" w:eastAsia="仿宋_GB2312" w:cs="仿宋_GB2312"/>
                <w:sz w:val="24"/>
                <w:szCs w:val="24"/>
              </w:rPr>
            </w:pPr>
            <w:r>
              <w:rPr>
                <w:rStyle w:val="20"/>
                <w:rFonts w:hint="eastAsia" w:ascii="仿宋_GB2312" w:hAnsi="仿宋_GB2312" w:eastAsia="仿宋_GB2312" w:cs="仿宋_GB2312"/>
                <w:bCs/>
                <w:color w:val="auto"/>
                <w:kern w:val="0"/>
                <w:sz w:val="24"/>
                <w:szCs w:val="24"/>
                <w:lang w:val="en-GB"/>
              </w:rPr>
              <w:t>— 智能硬件相关专业知识，常用行业标准，产品制造规范</w:t>
            </w:r>
          </w:p>
          <w:p w14:paraId="4366A392">
            <w:pPr>
              <w:keepNext w:val="0"/>
              <w:keepLines w:val="0"/>
              <w:pageBreakBefore w:val="0"/>
              <w:kinsoku/>
              <w:wordWrap/>
              <w:overflowPunct/>
              <w:topLinePunct w:val="0"/>
              <w:autoSpaceDE/>
              <w:autoSpaceDN/>
              <w:bidi w:val="0"/>
              <w:adjustRightInd/>
              <w:snapToGrid/>
              <w:spacing w:line="0" w:lineRule="atLeast"/>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各种智能硬件模块的特性和工作原理</w:t>
            </w:r>
          </w:p>
          <w:p w14:paraId="41D53DB1">
            <w:pPr>
              <w:keepNext w:val="0"/>
              <w:keepLines w:val="0"/>
              <w:pageBreakBefore w:val="0"/>
              <w:kinsoku/>
              <w:wordWrap/>
              <w:overflowPunct/>
              <w:topLinePunct w:val="0"/>
              <w:autoSpaceDE/>
              <w:autoSpaceDN/>
              <w:bidi w:val="0"/>
              <w:adjustRightInd/>
              <w:snapToGrid/>
              <w:spacing w:line="0" w:lineRule="atLeast"/>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控制设备、智能硬件终端、集成控制的特性</w:t>
            </w:r>
          </w:p>
          <w:p w14:paraId="5FD221AE">
            <w:pPr>
              <w:keepNext w:val="0"/>
              <w:keepLines w:val="0"/>
              <w:pageBreakBefore w:val="0"/>
              <w:kinsoku/>
              <w:wordWrap/>
              <w:overflowPunct/>
              <w:topLinePunct w:val="0"/>
              <w:autoSpaceDE/>
              <w:autoSpaceDN/>
              <w:bidi w:val="0"/>
              <w:adjustRightInd/>
              <w:snapToGrid/>
              <w:spacing w:line="0" w:lineRule="atLeast"/>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如何选择智能硬件模块及测试各类模块参数</w:t>
            </w:r>
          </w:p>
          <w:p w14:paraId="5A271FB0">
            <w:pPr>
              <w:keepNext w:val="0"/>
              <w:keepLines w:val="0"/>
              <w:pageBreakBefore w:val="0"/>
              <w:kinsoku/>
              <w:wordWrap/>
              <w:overflowPunct/>
              <w:topLinePunct w:val="0"/>
              <w:autoSpaceDE/>
              <w:autoSpaceDN/>
              <w:bidi w:val="0"/>
              <w:adjustRightInd/>
              <w:snapToGrid/>
              <w:spacing w:line="0" w:lineRule="atLeast"/>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智能硬件模块的驱动配置</w:t>
            </w:r>
          </w:p>
        </w:tc>
        <w:tc>
          <w:tcPr>
            <w:tcW w:w="1046" w:type="pct"/>
            <w:vMerge w:val="continue"/>
            <w:tcBorders>
              <w:top w:val="single" w:color="auto" w:sz="4" w:space="0"/>
              <w:left w:val="single" w:color="auto" w:sz="4" w:space="0"/>
              <w:bottom w:val="single" w:color="auto" w:sz="4" w:space="0"/>
              <w:right w:val="single" w:color="auto" w:sz="4" w:space="0"/>
            </w:tcBorders>
            <w:vAlign w:val="center"/>
          </w:tcPr>
          <w:p w14:paraId="0747EA00">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lang w:val="en-GB"/>
              </w:rPr>
            </w:pPr>
          </w:p>
        </w:tc>
      </w:tr>
      <w:tr w14:paraId="2AF4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3C89BBC5">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工作</w:t>
            </w:r>
          </w:p>
          <w:p w14:paraId="40408099">
            <w:pPr>
              <w:pStyle w:val="18"/>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能力</w:t>
            </w:r>
          </w:p>
        </w:tc>
        <w:tc>
          <w:tcPr>
            <w:tcW w:w="3512" w:type="pct"/>
            <w:tcBorders>
              <w:top w:val="single" w:color="auto" w:sz="4" w:space="0"/>
              <w:left w:val="single" w:color="auto" w:sz="4" w:space="0"/>
              <w:bottom w:val="single" w:color="auto" w:sz="4" w:space="0"/>
              <w:right w:val="single" w:color="auto" w:sz="4" w:space="0"/>
            </w:tcBorders>
            <w:vAlign w:val="center"/>
          </w:tcPr>
          <w:p w14:paraId="6C402A30">
            <w:pPr>
              <w:keepNext w:val="0"/>
              <w:keepLines w:val="0"/>
              <w:pageBreakBefore w:val="0"/>
              <w:kinsoku/>
              <w:wordWrap/>
              <w:overflowPunct/>
              <w:topLinePunct w:val="0"/>
              <w:autoSpaceDE/>
              <w:autoSpaceDN/>
              <w:bidi w:val="0"/>
              <w:adjustRightInd/>
              <w:snapToGrid/>
              <w:spacing w:line="0" w:lineRule="atLeast"/>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分析智能硬件应用环境的重要参数和功能要求</w:t>
            </w:r>
          </w:p>
          <w:p w14:paraId="32A85F11">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检查智能硬件应用的制造和质量，高效优质地完成智能硬件系统的组装和质量检验</w:t>
            </w:r>
          </w:p>
          <w:p w14:paraId="2CF8D433">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选择合适的控制设备、控制平台，实现系统稳定运行目</w:t>
            </w:r>
            <w:r>
              <w:rPr>
                <w:rStyle w:val="20"/>
                <w:rFonts w:hint="eastAsia" w:ascii="仿宋_GB2312" w:hAnsi="仿宋_GB2312" w:cs="仿宋_GB2312"/>
                <w:bCs/>
                <w:color w:val="auto"/>
                <w:kern w:val="0"/>
                <w:sz w:val="24"/>
                <w:szCs w:val="24"/>
                <w:lang w:val="en-US" w:eastAsia="zh-CN"/>
              </w:rPr>
              <w:t xml:space="preserve"> </w:t>
            </w:r>
            <w:r>
              <w:rPr>
                <w:rStyle w:val="20"/>
                <w:rFonts w:hint="eastAsia" w:ascii="仿宋_GB2312" w:hAnsi="仿宋_GB2312" w:eastAsia="仿宋_GB2312" w:cs="仿宋_GB2312"/>
                <w:bCs/>
                <w:color w:val="auto"/>
                <w:kern w:val="0"/>
                <w:sz w:val="24"/>
                <w:szCs w:val="24"/>
                <w:lang w:val="en-GB"/>
              </w:rPr>
              <w:t>标，测试各种智能硬件模块功能</w:t>
            </w:r>
          </w:p>
          <w:p w14:paraId="2B23E74E">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选择和优化智能硬件系统设计方案、模块组装方案，选择功能实现模式</w:t>
            </w:r>
          </w:p>
          <w:p w14:paraId="62D5BD80">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测试智能硬件系统的功能和性能参数，调节与优化系统运行</w:t>
            </w:r>
          </w:p>
          <w:p w14:paraId="66B3DFE5">
            <w:pPr>
              <w:keepNext w:val="0"/>
              <w:keepLines w:val="0"/>
              <w:pageBreakBefore w:val="0"/>
              <w:kinsoku/>
              <w:wordWrap/>
              <w:overflowPunct/>
              <w:topLinePunct w:val="0"/>
              <w:autoSpaceDE/>
              <w:autoSpaceDN/>
              <w:bidi w:val="0"/>
              <w:adjustRightInd/>
              <w:snapToGrid/>
              <w:spacing w:line="0" w:lineRule="atLeast"/>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配置智能硬件模块的驱动</w:t>
            </w:r>
          </w:p>
          <w:p w14:paraId="266BF16B">
            <w:pPr>
              <w:keepNext w:val="0"/>
              <w:keepLines w:val="0"/>
              <w:pageBreakBefore w:val="0"/>
              <w:kinsoku/>
              <w:wordWrap/>
              <w:overflowPunct/>
              <w:topLinePunct w:val="0"/>
              <w:autoSpaceDE/>
              <w:autoSpaceDN/>
              <w:bidi w:val="0"/>
              <w:adjustRightInd/>
              <w:snapToGrid/>
              <w:spacing w:line="0" w:lineRule="atLeast"/>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智能硬件系统的元件组装</w:t>
            </w:r>
          </w:p>
          <w:p w14:paraId="55EF178A">
            <w:pPr>
              <w:keepNext w:val="0"/>
              <w:keepLines w:val="0"/>
              <w:pageBreakBefore w:val="0"/>
              <w:kinsoku/>
              <w:wordWrap/>
              <w:overflowPunct/>
              <w:topLinePunct w:val="0"/>
              <w:autoSpaceDE/>
              <w:autoSpaceDN/>
              <w:bidi w:val="0"/>
              <w:adjustRightInd/>
              <w:snapToGrid/>
              <w:spacing w:line="0" w:lineRule="atLeast"/>
              <w:jc w:val="left"/>
              <w:textAlignment w:val="center"/>
              <w:rPr>
                <w:rStyle w:val="20"/>
                <w:rFonts w:hint="eastAsia" w:ascii="仿宋_GB2312" w:hAnsi="仿宋_GB2312" w:eastAsia="仿宋_GB2312" w:cs="仿宋_GB2312"/>
                <w:bCs/>
                <w:color w:val="auto"/>
                <w:kern w:val="0"/>
                <w:sz w:val="24"/>
                <w:szCs w:val="24"/>
                <w:lang w:val="en-GB"/>
              </w:rPr>
            </w:pPr>
            <w:r>
              <w:rPr>
                <w:rStyle w:val="20"/>
                <w:rFonts w:hint="eastAsia" w:ascii="仿宋_GB2312" w:hAnsi="仿宋_GB2312" w:eastAsia="仿宋_GB2312" w:cs="仿宋_GB2312"/>
                <w:bCs/>
                <w:color w:val="auto"/>
                <w:kern w:val="0"/>
                <w:sz w:val="24"/>
                <w:szCs w:val="24"/>
                <w:lang w:val="en-GB"/>
              </w:rPr>
              <w:t>— 测试并记录智能硬件系统的功能和性能</w:t>
            </w:r>
          </w:p>
        </w:tc>
        <w:tc>
          <w:tcPr>
            <w:tcW w:w="1046" w:type="pct"/>
            <w:vMerge w:val="continue"/>
            <w:tcBorders>
              <w:top w:val="single" w:color="auto" w:sz="4" w:space="0"/>
              <w:left w:val="single" w:color="auto" w:sz="4" w:space="0"/>
              <w:bottom w:val="single" w:color="auto" w:sz="4" w:space="0"/>
              <w:right w:val="single" w:color="auto" w:sz="4" w:space="0"/>
            </w:tcBorders>
            <w:vAlign w:val="center"/>
          </w:tcPr>
          <w:p w14:paraId="78E3792D">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lang w:val="en-GB"/>
              </w:rPr>
            </w:pPr>
          </w:p>
        </w:tc>
      </w:tr>
      <w:tr w14:paraId="3368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6E4D3871">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val="en-US" w:eastAsia="zh-CN"/>
              </w:rPr>
              <w:t>3</w:t>
            </w:r>
          </w:p>
        </w:tc>
        <w:tc>
          <w:tcPr>
            <w:tcW w:w="3512" w:type="pct"/>
            <w:tcBorders>
              <w:top w:val="single" w:color="auto" w:sz="4" w:space="0"/>
              <w:left w:val="single" w:color="auto" w:sz="4" w:space="0"/>
              <w:bottom w:val="single" w:color="auto" w:sz="4" w:space="0"/>
              <w:right w:val="single" w:color="auto" w:sz="4" w:space="0"/>
            </w:tcBorders>
            <w:vAlign w:val="center"/>
          </w:tcPr>
          <w:p w14:paraId="119F4D52">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智能硬件应用的组装、安装与实施</w:t>
            </w:r>
          </w:p>
        </w:tc>
        <w:tc>
          <w:tcPr>
            <w:tcW w:w="1046" w:type="pct"/>
            <w:vMerge w:val="restart"/>
            <w:tcBorders>
              <w:top w:val="single" w:color="auto" w:sz="4" w:space="0"/>
              <w:left w:val="single" w:color="auto" w:sz="4" w:space="0"/>
              <w:right w:val="single" w:color="auto" w:sz="4" w:space="0"/>
            </w:tcBorders>
            <w:vAlign w:val="center"/>
          </w:tcPr>
          <w:p w14:paraId="57B186C4">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rPr>
              <w:t>4</w:t>
            </w:r>
            <w:r>
              <w:rPr>
                <w:rFonts w:hint="eastAsia" w:ascii="仿宋_GB2312" w:hAnsi="仿宋_GB2312" w:eastAsia="仿宋_GB2312" w:cs="仿宋_GB2312"/>
                <w:bCs/>
                <w:sz w:val="24"/>
                <w:szCs w:val="24"/>
                <w:lang w:val="en-US" w:eastAsia="zh-CN"/>
              </w:rPr>
              <w:t>0</w:t>
            </w:r>
          </w:p>
        </w:tc>
      </w:tr>
      <w:tr w14:paraId="5CBE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299D5D3D">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基本</w:t>
            </w:r>
          </w:p>
          <w:p w14:paraId="22671481">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知识</w:t>
            </w:r>
          </w:p>
        </w:tc>
        <w:tc>
          <w:tcPr>
            <w:tcW w:w="3512" w:type="pct"/>
            <w:tcBorders>
              <w:top w:val="single" w:color="auto" w:sz="4" w:space="0"/>
              <w:left w:val="single" w:color="auto" w:sz="4" w:space="0"/>
              <w:bottom w:val="single" w:color="auto" w:sz="4" w:space="0"/>
              <w:right w:val="single" w:color="auto" w:sz="4" w:space="0"/>
            </w:tcBorders>
            <w:vAlign w:val="center"/>
          </w:tcPr>
          <w:p w14:paraId="6092EA6E">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电子学基础、智能硬件应用基础和应用环境</w:t>
            </w:r>
          </w:p>
          <w:p w14:paraId="2E409BFF">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电路图、接线图、示意图、技术手册和说明</w:t>
            </w:r>
          </w:p>
          <w:p w14:paraId="50EF03E7">
            <w:pPr>
              <w:keepNext w:val="0"/>
              <w:keepLines w:val="0"/>
              <w:pageBreakBefore w:val="0"/>
              <w:kinsoku/>
              <w:wordWrap/>
              <w:overflowPunct/>
              <w:topLinePunct w:val="0"/>
              <w:autoSpaceDE/>
              <w:autoSpaceDN/>
              <w:bidi w:val="0"/>
              <w:adjustRightInd/>
              <w:snapToGrid/>
              <w:spacing w:line="0" w:lineRule="atLeas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智能硬件应用的组成及要求</w:t>
            </w:r>
          </w:p>
        </w:tc>
        <w:tc>
          <w:tcPr>
            <w:tcW w:w="1046" w:type="pct"/>
            <w:vMerge w:val="continue"/>
            <w:tcBorders>
              <w:left w:val="single" w:color="auto" w:sz="4" w:space="0"/>
              <w:right w:val="single" w:color="auto" w:sz="4" w:space="0"/>
            </w:tcBorders>
            <w:vAlign w:val="center"/>
          </w:tcPr>
          <w:p w14:paraId="5580AF55">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p>
        </w:tc>
      </w:tr>
      <w:tr w14:paraId="74B1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63DDA689">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工作</w:t>
            </w:r>
          </w:p>
          <w:p w14:paraId="687CC501">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能力</w:t>
            </w:r>
          </w:p>
        </w:tc>
        <w:tc>
          <w:tcPr>
            <w:tcW w:w="3512" w:type="pct"/>
            <w:tcBorders>
              <w:top w:val="single" w:color="auto" w:sz="4" w:space="0"/>
              <w:left w:val="single" w:color="auto" w:sz="4" w:space="0"/>
              <w:bottom w:val="single" w:color="auto" w:sz="4" w:space="0"/>
              <w:right w:val="single" w:color="auto" w:sz="4" w:space="0"/>
            </w:tcBorders>
            <w:vAlign w:val="center"/>
          </w:tcPr>
          <w:p w14:paraId="56F8658D">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 阅读和解释电路图、接线图、示意图、技术手册和说明</w:t>
            </w:r>
          </w:p>
          <w:p w14:paraId="27B5207E">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根据智能硬件应用的特点，选择适当的模块，测试相关参数</w:t>
            </w:r>
          </w:p>
          <w:p w14:paraId="5A230B1D">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根据智能硬件系统的结构和参数，正确选择配置模块驱动，并对其进行技术处理</w:t>
            </w:r>
          </w:p>
          <w:p w14:paraId="2370DCEF">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选择智能硬件系统控制平台，测试模块和控制装置的特性</w:t>
            </w:r>
          </w:p>
          <w:p w14:paraId="2907216A">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根据竞赛任务要求完成智能硬件系统安装和调试，并提供相应的测试报告</w:t>
            </w:r>
          </w:p>
        </w:tc>
        <w:tc>
          <w:tcPr>
            <w:tcW w:w="1046" w:type="pct"/>
            <w:vMerge w:val="continue"/>
            <w:tcBorders>
              <w:left w:val="single" w:color="auto" w:sz="4" w:space="0"/>
              <w:bottom w:val="single" w:color="auto" w:sz="4" w:space="0"/>
              <w:right w:val="single" w:color="auto" w:sz="4" w:space="0"/>
            </w:tcBorders>
            <w:vAlign w:val="center"/>
          </w:tcPr>
          <w:p w14:paraId="0083426C">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p>
        </w:tc>
      </w:tr>
      <w:tr w14:paraId="19B4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5A2F1026">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val="en-US" w:eastAsia="zh-CN"/>
              </w:rPr>
              <w:t>4</w:t>
            </w:r>
          </w:p>
        </w:tc>
        <w:tc>
          <w:tcPr>
            <w:tcW w:w="3512" w:type="pct"/>
            <w:tcBorders>
              <w:top w:val="single" w:color="auto" w:sz="4" w:space="0"/>
              <w:left w:val="single" w:color="auto" w:sz="4" w:space="0"/>
              <w:bottom w:val="single" w:color="auto" w:sz="4" w:space="0"/>
              <w:right w:val="single" w:color="auto" w:sz="4" w:space="0"/>
            </w:tcBorders>
            <w:vAlign w:val="center"/>
          </w:tcPr>
          <w:p w14:paraId="46D59AB4">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智能硬件应用的维修</w:t>
            </w:r>
          </w:p>
        </w:tc>
        <w:tc>
          <w:tcPr>
            <w:tcW w:w="1046" w:type="pct"/>
            <w:vMerge w:val="restart"/>
            <w:tcBorders>
              <w:top w:val="single" w:color="auto" w:sz="4" w:space="0"/>
              <w:left w:val="single" w:color="auto" w:sz="4" w:space="0"/>
              <w:right w:val="single" w:color="auto" w:sz="4" w:space="0"/>
            </w:tcBorders>
            <w:vAlign w:val="center"/>
          </w:tcPr>
          <w:p w14:paraId="7A1F01A3">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25</w:t>
            </w:r>
          </w:p>
        </w:tc>
      </w:tr>
      <w:tr w14:paraId="3102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4D11A209">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基本</w:t>
            </w:r>
          </w:p>
          <w:p w14:paraId="6D8C2B44">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知识</w:t>
            </w:r>
          </w:p>
        </w:tc>
        <w:tc>
          <w:tcPr>
            <w:tcW w:w="3512" w:type="pct"/>
            <w:tcBorders>
              <w:top w:val="single" w:color="auto" w:sz="4" w:space="0"/>
              <w:left w:val="single" w:color="auto" w:sz="4" w:space="0"/>
              <w:bottom w:val="single" w:color="auto" w:sz="4" w:space="0"/>
              <w:right w:val="single" w:color="auto" w:sz="4" w:space="0"/>
            </w:tcBorders>
            <w:vAlign w:val="center"/>
          </w:tcPr>
          <w:p w14:paraId="77003DC0">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智能硬件应用的电路图和技术数据</w:t>
            </w:r>
          </w:p>
          <w:p w14:paraId="428597B5">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相关行业维护标准</w:t>
            </w:r>
          </w:p>
          <w:p w14:paraId="18C3A114">
            <w:pPr>
              <w:keepNext w:val="0"/>
              <w:keepLines w:val="0"/>
              <w:pageBreakBefore w:val="0"/>
              <w:kinsoku/>
              <w:wordWrap/>
              <w:overflowPunct/>
              <w:topLinePunct w:val="0"/>
              <w:autoSpaceDE/>
              <w:autoSpaceDN/>
              <w:bidi w:val="0"/>
              <w:adjustRightInd/>
              <w:snapToGrid/>
              <w:spacing w:line="0" w:lineRule="atLeast"/>
              <w:ind w:left="480" w:hanging="480" w:hanging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在一般维护、安装和维护任务中使用智能硬件工业材料和工具</w:t>
            </w:r>
          </w:p>
          <w:p w14:paraId="12D1A3BD">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智能硬件系统的故障检测方法</w:t>
            </w:r>
          </w:p>
          <w:p w14:paraId="3AB6A484">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智能硬件系统维护与功能测试</w:t>
            </w:r>
          </w:p>
        </w:tc>
        <w:tc>
          <w:tcPr>
            <w:tcW w:w="1046" w:type="pct"/>
            <w:vMerge w:val="continue"/>
            <w:tcBorders>
              <w:left w:val="single" w:color="auto" w:sz="4" w:space="0"/>
              <w:right w:val="single" w:color="auto" w:sz="4" w:space="0"/>
            </w:tcBorders>
            <w:vAlign w:val="center"/>
          </w:tcPr>
          <w:p w14:paraId="6C7769A9">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p>
        </w:tc>
      </w:tr>
      <w:tr w14:paraId="49CB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22F37E34">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工作</w:t>
            </w:r>
          </w:p>
          <w:p w14:paraId="6834F370">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能力</w:t>
            </w:r>
          </w:p>
        </w:tc>
        <w:tc>
          <w:tcPr>
            <w:tcW w:w="3512" w:type="pct"/>
            <w:tcBorders>
              <w:top w:val="single" w:color="auto" w:sz="4" w:space="0"/>
              <w:left w:val="single" w:color="auto" w:sz="4" w:space="0"/>
              <w:bottom w:val="single" w:color="auto" w:sz="4" w:space="0"/>
              <w:right w:val="single" w:color="auto" w:sz="4" w:space="0"/>
            </w:tcBorders>
            <w:vAlign w:val="center"/>
          </w:tcPr>
          <w:p w14:paraId="519AA9FC">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阅读智能硬件系统的电路图和文件</w:t>
            </w:r>
          </w:p>
          <w:p w14:paraId="54EEF91B">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分析智能硬件应用的工作原理、信号的传输过程和各环节的特性参数</w:t>
            </w:r>
          </w:p>
          <w:p w14:paraId="518B4C1E">
            <w:pPr>
              <w:keepNext w:val="0"/>
              <w:keepLines w:val="0"/>
              <w:pageBreakBefore w:val="0"/>
              <w:kinsoku/>
              <w:wordWrap/>
              <w:overflowPunct/>
              <w:topLinePunct w:val="0"/>
              <w:autoSpaceDE/>
              <w:autoSpaceDN/>
              <w:bidi w:val="0"/>
              <w:adjustRightInd/>
              <w:snapToGrid/>
              <w:spacing w:line="0" w:lineRule="atLeast"/>
              <w:ind w:left="480" w:hanging="480" w:hangingChars="200"/>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分析故障原因，确定故障检测方案，根据故障现象进行检测</w:t>
            </w:r>
          </w:p>
          <w:p w14:paraId="0BCB1FC6">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修理或更换智能硬件应用中的故障设备和线路</w:t>
            </w:r>
          </w:p>
          <w:p w14:paraId="61E0507F">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更换部件和电缆</w:t>
            </w:r>
          </w:p>
          <w:p w14:paraId="428BC333">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使用普通智能硬件测试工具、仪器和维护工具</w:t>
            </w:r>
          </w:p>
          <w:p w14:paraId="15A69150">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维护智能硬件系统的每个模块</w:t>
            </w:r>
          </w:p>
          <w:p w14:paraId="4D8E6421">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修改控制平台参数</w:t>
            </w:r>
          </w:p>
          <w:p w14:paraId="3BE40DCA">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调试和优化智能硬件系统</w:t>
            </w:r>
          </w:p>
          <w:p w14:paraId="13092042">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维修后测试智能硬件应用</w:t>
            </w:r>
          </w:p>
        </w:tc>
        <w:tc>
          <w:tcPr>
            <w:tcW w:w="1046" w:type="pct"/>
            <w:vMerge w:val="continue"/>
            <w:tcBorders>
              <w:left w:val="single" w:color="auto" w:sz="4" w:space="0"/>
              <w:bottom w:val="single" w:color="auto" w:sz="4" w:space="0"/>
              <w:right w:val="single" w:color="auto" w:sz="4" w:space="0"/>
            </w:tcBorders>
            <w:vAlign w:val="center"/>
          </w:tcPr>
          <w:p w14:paraId="6D89F957">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p>
        </w:tc>
      </w:tr>
      <w:tr w14:paraId="1785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5A45FC1A">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val="en-US" w:eastAsia="zh-CN"/>
              </w:rPr>
              <w:t>5</w:t>
            </w:r>
          </w:p>
        </w:tc>
        <w:tc>
          <w:tcPr>
            <w:tcW w:w="3512" w:type="pct"/>
            <w:tcBorders>
              <w:top w:val="single" w:color="auto" w:sz="4" w:space="0"/>
              <w:left w:val="single" w:color="auto" w:sz="4" w:space="0"/>
              <w:bottom w:val="single" w:color="auto" w:sz="4" w:space="0"/>
              <w:right w:val="single" w:color="auto" w:sz="4" w:space="0"/>
            </w:tcBorders>
            <w:vAlign w:val="center"/>
          </w:tcPr>
          <w:p w14:paraId="279D4973">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 xml:space="preserve"> 智能硬件应用的优化</w:t>
            </w:r>
          </w:p>
        </w:tc>
        <w:tc>
          <w:tcPr>
            <w:tcW w:w="1046" w:type="pct"/>
            <w:vMerge w:val="restart"/>
            <w:tcBorders>
              <w:top w:val="single" w:color="auto" w:sz="4" w:space="0"/>
              <w:left w:val="single" w:color="auto" w:sz="4" w:space="0"/>
              <w:right w:val="single" w:color="auto" w:sz="4" w:space="0"/>
            </w:tcBorders>
            <w:vAlign w:val="center"/>
          </w:tcPr>
          <w:p w14:paraId="5501AF60">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rPr>
              <w:t>1</w:t>
            </w:r>
            <w:r>
              <w:rPr>
                <w:rFonts w:hint="eastAsia" w:ascii="仿宋_GB2312" w:hAnsi="仿宋_GB2312" w:eastAsia="仿宋_GB2312" w:cs="仿宋_GB2312"/>
                <w:bCs/>
                <w:sz w:val="24"/>
                <w:szCs w:val="24"/>
                <w:lang w:val="en-US" w:eastAsia="zh-CN"/>
              </w:rPr>
              <w:t>5</w:t>
            </w:r>
          </w:p>
        </w:tc>
      </w:tr>
      <w:tr w14:paraId="39D8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67191933">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基本</w:t>
            </w:r>
          </w:p>
          <w:p w14:paraId="4F8581F7">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知识</w:t>
            </w:r>
          </w:p>
        </w:tc>
        <w:tc>
          <w:tcPr>
            <w:tcW w:w="3512" w:type="pct"/>
            <w:tcBorders>
              <w:top w:val="single" w:color="auto" w:sz="4" w:space="0"/>
              <w:left w:val="single" w:color="auto" w:sz="4" w:space="0"/>
              <w:bottom w:val="single" w:color="auto" w:sz="4" w:space="0"/>
              <w:right w:val="single" w:color="auto" w:sz="4" w:space="0"/>
            </w:tcBorders>
            <w:vAlign w:val="center"/>
          </w:tcPr>
          <w:p w14:paraId="2CF63C27">
            <w:pPr>
              <w:keepNext w:val="0"/>
              <w:keepLines w:val="0"/>
              <w:pageBreakBefore w:val="0"/>
              <w:kinsoku/>
              <w:wordWrap/>
              <w:overflowPunct/>
              <w:topLinePunct w:val="0"/>
              <w:autoSpaceDE/>
              <w:autoSpaceDN/>
              <w:bidi w:val="0"/>
              <w:adjustRightInd/>
              <w:snapToGrid/>
              <w:spacing w:line="0" w:lineRule="atLeast"/>
              <w:ind w:left="240" w:hanging="240" w:hangingChars="10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如何在满足智能硬件各种需求参数的情况下，更大程度地实现系统高效运行</w:t>
            </w:r>
          </w:p>
          <w:p w14:paraId="1B6ADC7B">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如何优化智能硬件应用方案</w:t>
            </w:r>
          </w:p>
          <w:p w14:paraId="69DFF17D">
            <w:pPr>
              <w:keepNext w:val="0"/>
              <w:keepLines w:val="0"/>
              <w:pageBreakBefore w:val="0"/>
              <w:kinsoku/>
              <w:wordWrap/>
              <w:overflowPunct/>
              <w:topLinePunct w:val="0"/>
              <w:autoSpaceDE/>
              <w:autoSpaceDN/>
              <w:bidi w:val="0"/>
              <w:adjustRightInd/>
              <w:snapToGrid/>
              <w:spacing w:line="0" w:lineRule="atLeast"/>
              <w:ind w:left="240" w:hanging="240" w:hangingChars="10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优化智能硬件产品的驱动原理，如何优化智能硬件产品的设计</w:t>
            </w:r>
          </w:p>
          <w:p w14:paraId="4422BD88">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智能硬件系统的控制原理</w:t>
            </w:r>
          </w:p>
        </w:tc>
        <w:tc>
          <w:tcPr>
            <w:tcW w:w="1046" w:type="pct"/>
            <w:vMerge w:val="continue"/>
            <w:tcBorders>
              <w:left w:val="single" w:color="auto" w:sz="4" w:space="0"/>
              <w:right w:val="single" w:color="auto" w:sz="4" w:space="0"/>
            </w:tcBorders>
            <w:vAlign w:val="center"/>
          </w:tcPr>
          <w:p w14:paraId="4070C77F">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p>
        </w:tc>
      </w:tr>
      <w:tr w14:paraId="4BDE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vAlign w:val="center"/>
          </w:tcPr>
          <w:p w14:paraId="0749EB01">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工作</w:t>
            </w:r>
          </w:p>
          <w:p w14:paraId="0FD77977">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能力</w:t>
            </w:r>
          </w:p>
        </w:tc>
        <w:tc>
          <w:tcPr>
            <w:tcW w:w="3512" w:type="pct"/>
            <w:tcBorders>
              <w:top w:val="single" w:color="auto" w:sz="4" w:space="0"/>
              <w:left w:val="single" w:color="auto" w:sz="4" w:space="0"/>
              <w:bottom w:val="single" w:color="auto" w:sz="4" w:space="0"/>
              <w:right w:val="single" w:color="auto" w:sz="4" w:space="0"/>
            </w:tcBorders>
            <w:vAlign w:val="center"/>
          </w:tcPr>
          <w:p w14:paraId="0B4D260E">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进行智能硬件系统的适当优化</w:t>
            </w:r>
          </w:p>
          <w:p w14:paraId="044D4D14">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选择和优化智能硬件系统的应用方案</w:t>
            </w:r>
          </w:p>
          <w:p w14:paraId="4D65B021">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 在满足各种要求和参数的条件下实现系统高效运行</w:t>
            </w:r>
          </w:p>
          <w:p w14:paraId="54D7904D">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优化智能硬件产品的设计结构</w:t>
            </w:r>
          </w:p>
          <w:p w14:paraId="3EE62D1B">
            <w:pPr>
              <w:keepNext w:val="0"/>
              <w:keepLines w:val="0"/>
              <w:pageBreakBefore w:val="0"/>
              <w:kinsoku/>
              <w:wordWrap/>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 优化智能硬件产品的驱动电路</w:t>
            </w:r>
          </w:p>
          <w:p w14:paraId="4FCF8FB2">
            <w:pPr>
              <w:keepNext w:val="0"/>
              <w:keepLines w:val="0"/>
              <w:pageBreakBefore w:val="0"/>
              <w:kinsoku/>
              <w:wordWrap/>
              <w:overflowPunct/>
              <w:topLinePunct w:val="0"/>
              <w:autoSpaceDE/>
              <w:autoSpaceDN/>
              <w:bidi w:val="0"/>
              <w:adjustRightInd/>
              <w:snapToGrid/>
              <w:spacing w:line="0" w:lineRule="atLeas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设计智能硬件模块的高效运行方案</w:t>
            </w:r>
          </w:p>
        </w:tc>
        <w:tc>
          <w:tcPr>
            <w:tcW w:w="1046" w:type="pct"/>
            <w:vMerge w:val="continue"/>
            <w:tcBorders>
              <w:left w:val="single" w:color="auto" w:sz="4" w:space="0"/>
              <w:bottom w:val="single" w:color="auto" w:sz="4" w:space="0"/>
              <w:right w:val="single" w:color="auto" w:sz="4" w:space="0"/>
            </w:tcBorders>
            <w:vAlign w:val="center"/>
          </w:tcPr>
          <w:p w14:paraId="72139F44">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Cs/>
                <w:sz w:val="24"/>
                <w:szCs w:val="24"/>
              </w:rPr>
            </w:pPr>
          </w:p>
        </w:tc>
      </w:tr>
      <w:tr w14:paraId="670A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53" w:type="pct"/>
            <w:gridSpan w:val="2"/>
            <w:tcBorders>
              <w:top w:val="single" w:color="auto" w:sz="4" w:space="0"/>
              <w:left w:val="single" w:color="auto" w:sz="4" w:space="0"/>
              <w:bottom w:val="single" w:color="auto" w:sz="4" w:space="0"/>
              <w:right w:val="single" w:color="auto" w:sz="4" w:space="0"/>
            </w:tcBorders>
            <w:vAlign w:val="center"/>
          </w:tcPr>
          <w:p w14:paraId="596A3240">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合计</w:t>
            </w:r>
          </w:p>
        </w:tc>
        <w:tc>
          <w:tcPr>
            <w:tcW w:w="1046" w:type="pct"/>
            <w:tcBorders>
              <w:top w:val="single" w:color="auto" w:sz="4" w:space="0"/>
              <w:left w:val="single" w:color="auto" w:sz="4" w:space="0"/>
              <w:bottom w:val="single" w:color="auto" w:sz="4" w:space="0"/>
              <w:right w:val="single" w:color="auto" w:sz="4" w:space="0"/>
            </w:tcBorders>
            <w:vAlign w:val="center"/>
          </w:tcPr>
          <w:p w14:paraId="3D64FD8C">
            <w:pPr>
              <w:keepNext w:val="0"/>
              <w:keepLines w:val="0"/>
              <w:pageBreakBefore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100</w:t>
            </w:r>
          </w:p>
        </w:tc>
      </w:tr>
    </w:tbl>
    <w:p w14:paraId="2F94E2EE">
      <w:pPr>
        <w:keepNext w:val="0"/>
        <w:keepLines w:val="0"/>
        <w:pageBreakBefore w:val="0"/>
        <w:kinsoku/>
        <w:overflowPunct/>
        <w:topLinePunct w:val="0"/>
        <w:autoSpaceDE/>
        <w:autoSpaceDN/>
        <w:bidi w:val="0"/>
        <w:adjustRightInd/>
        <w:snapToGrid/>
        <w:spacing w:line="580" w:lineRule="exact"/>
        <w:ind w:firstLine="640" w:firstLineChars="200"/>
        <w:textAlignment w:val="auto"/>
        <w:outlineLvl w:val="0"/>
        <w:rPr>
          <w:rFonts w:eastAsia="黑体"/>
          <w:bCs/>
          <w:szCs w:val="32"/>
        </w:rPr>
      </w:pPr>
      <w:r>
        <w:rPr>
          <w:rFonts w:eastAsia="黑体"/>
          <w:bCs/>
          <w:szCs w:val="32"/>
        </w:rPr>
        <w:t>二、试题及评判标准</w:t>
      </w:r>
    </w:p>
    <w:p w14:paraId="7DD286B2">
      <w:pPr>
        <w:keepNext w:val="0"/>
        <w:keepLines w:val="0"/>
        <w:pageBreakBefore w:val="0"/>
        <w:kinsoku/>
        <w:overflowPunct/>
        <w:topLinePunct w:val="0"/>
        <w:autoSpaceDE/>
        <w:autoSpaceDN/>
        <w:bidi w:val="0"/>
        <w:adjustRightInd/>
        <w:snapToGrid/>
        <w:spacing w:line="580" w:lineRule="exact"/>
        <w:ind w:firstLine="640" w:firstLineChars="200"/>
        <w:textAlignment w:val="auto"/>
        <w:outlineLvl w:val="1"/>
        <w:rPr>
          <w:rFonts w:eastAsia="楷体_GB2312"/>
          <w:szCs w:val="32"/>
        </w:rPr>
      </w:pPr>
      <w:r>
        <w:rPr>
          <w:rFonts w:eastAsia="楷体_GB2312"/>
          <w:szCs w:val="32"/>
        </w:rPr>
        <w:t>（一）试题</w:t>
      </w:r>
    </w:p>
    <w:p w14:paraId="10864A63">
      <w:pPr>
        <w:keepNext w:val="0"/>
        <w:keepLines w:val="0"/>
        <w:pageBreakBefore w:val="0"/>
        <w:widowControl/>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rPr>
        <w:t>1.初赛采用半公开试题的命题方式进行。报名开始后执委会在</w:t>
      </w:r>
      <w:r>
        <w:rPr>
          <w:rFonts w:hint="eastAsia" w:ascii="仿宋_GB2312" w:hAnsi="仿宋_GB2312" w:eastAsia="仿宋_GB2312" w:cs="仿宋_GB2312"/>
          <w:color w:val="auto"/>
          <w:lang w:val="en-US" w:eastAsia="zh-CN"/>
        </w:rPr>
        <w:t>指定</w:t>
      </w:r>
      <w:r>
        <w:rPr>
          <w:rFonts w:hint="eastAsia" w:ascii="仿宋_GB2312" w:hAnsi="仿宋_GB2312" w:eastAsia="仿宋_GB2312" w:cs="仿宋_GB2312"/>
          <w:color w:val="auto"/>
        </w:rPr>
        <w:t>网站https://appvkygm0se1696.pc.xiaoe-tech.com</w:t>
      </w:r>
      <w:r>
        <w:rPr>
          <w:rFonts w:hint="eastAsia" w:ascii="仿宋_GB2312" w:hAnsi="仿宋_GB2312" w:eastAsia="仿宋_GB2312" w:cs="仿宋_GB2312"/>
          <w:color w:val="auto"/>
          <w:sz w:val="32"/>
          <w:szCs w:val="32"/>
          <w:lang w:val="en-US" w:eastAsia="zh-CN"/>
        </w:rPr>
        <w:t>公布300道理论题库，供参赛选手自主学习使用。</w:t>
      </w:r>
      <w:r>
        <w:rPr>
          <w:rFonts w:hint="eastAsia" w:ascii="仿宋_GB2312" w:hAnsi="仿宋_GB2312" w:eastAsia="仿宋_GB2312" w:cs="仿宋_GB2312"/>
          <w:color w:val="auto"/>
        </w:rPr>
        <w:t>报名结束后，参赛选手可登录竞赛训练平台自主开展练习。平台网址：https://appvkygm0se1696.pc.xiaoe-tech.com</w:t>
      </w:r>
    </w:p>
    <w:p w14:paraId="0BA98C59">
      <w:pPr>
        <w:keepNext w:val="0"/>
        <w:keepLines w:val="0"/>
        <w:pageBreakBefore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Cs w:val="32"/>
        </w:rPr>
        <w:t>2.</w:t>
      </w:r>
      <w:r>
        <w:rPr>
          <w:rFonts w:hint="eastAsia" w:ascii="仿宋_GB2312" w:hAnsi="仿宋_GB2312" w:eastAsia="仿宋_GB2312" w:cs="仿宋_GB2312"/>
          <w:color w:val="000000" w:themeColor="text1"/>
          <w:sz w:val="32"/>
          <w:szCs w:val="24"/>
          <w:highlight w:val="none"/>
          <w:lang w:val="en-US" w:eastAsia="zh-CN"/>
          <w14:textFill>
            <w14:solidFill>
              <w14:schemeClr w14:val="tx1"/>
            </w14:solidFill>
          </w14:textFill>
        </w:rPr>
        <w:t>决赛采用半公开试题的方式，选手按赛场提供的</w:t>
      </w:r>
      <w:r>
        <w:rPr>
          <w:rFonts w:hint="eastAsia" w:ascii="仿宋_GB2312" w:hAnsi="仿宋_GB2312" w:eastAsia="仿宋_GB2312" w:cs="仿宋_GB2312"/>
          <w:color w:val="000000" w:themeColor="text1"/>
          <w:szCs w:val="32"/>
          <w14:textFill>
            <w14:solidFill>
              <w14:schemeClr w14:val="tx1"/>
            </w14:solidFill>
          </w14:textFill>
        </w:rPr>
        <w:t>实操任务书以现场实际操作的方式</w:t>
      </w:r>
      <w:r>
        <w:rPr>
          <w:rFonts w:hint="eastAsia" w:ascii="仿宋_GB2312" w:hAnsi="仿宋_GB2312" w:eastAsia="仿宋_GB2312" w:cs="仿宋_GB2312"/>
          <w:color w:val="000000" w:themeColor="text1"/>
          <w:sz w:val="32"/>
          <w:szCs w:val="24"/>
          <w:highlight w:val="none"/>
          <w:lang w:val="en-US" w:eastAsia="zh-CN"/>
          <w14:textFill>
            <w14:solidFill>
              <w14:schemeClr w14:val="tx1"/>
            </w14:solidFill>
          </w14:textFill>
        </w:rPr>
        <w:t>完成硬件系统组装、软件工程创建及系统调试、系统功能实现三个模块实操任务。初赛结束后登录</w:t>
      </w:r>
      <w:r>
        <w:rPr>
          <w:rFonts w:hint="eastAsia" w:ascii="仿宋_GB2312" w:hAnsi="仿宋_GB2312" w:eastAsia="仿宋_GB2312" w:cs="仿宋_GB2312"/>
          <w:color w:val="auto"/>
          <w:sz w:val="32"/>
          <w:szCs w:val="32"/>
          <w:lang w:val="en-US" w:eastAsia="zh-CN"/>
        </w:rPr>
        <w:t>执委会指定网站（平台网址：</w:t>
      </w:r>
    </w:p>
    <w:p w14:paraId="0AE064DA">
      <w:pPr>
        <w:keepNext w:val="0"/>
        <w:keepLines w:val="0"/>
        <w:pageBreakBefore w:val="0"/>
        <w:kinsoku/>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szCs w:val="32"/>
        </w:rPr>
      </w:pPr>
      <w:r>
        <w:rPr>
          <w:rFonts w:hint="eastAsia" w:ascii="仿宋_GB2312" w:hAnsi="仿宋_GB2312" w:eastAsia="仿宋_GB2312" w:cs="仿宋_GB2312"/>
          <w:color w:val="auto"/>
          <w:sz w:val="32"/>
          <w:szCs w:val="32"/>
          <w:lang w:val="en-US" w:eastAsia="zh-CN"/>
        </w:rPr>
        <w:t>https://appvkygm0se1696.pc.xiaoe-tech.com）</w:t>
      </w:r>
      <w:r>
        <w:rPr>
          <w:rFonts w:hint="eastAsia" w:ascii="仿宋_GB2312" w:hAnsi="仿宋_GB2312" w:eastAsia="仿宋_GB2312" w:cs="仿宋_GB2312"/>
          <w:color w:val="000000" w:themeColor="text1"/>
          <w:sz w:val="32"/>
          <w:szCs w:val="24"/>
          <w:highlight w:val="none"/>
          <w:lang w:val="en-US" w:eastAsia="zh-CN"/>
          <w14:textFill>
            <w14:solidFill>
              <w14:schemeClr w14:val="tx1"/>
            </w14:solidFill>
          </w14:textFill>
        </w:rPr>
        <w:t>公布实操样题，赛前裁判长组织专家根据技术文件的思路及内容编制正式赛题，对样题做不超过30%的修改。</w:t>
      </w:r>
    </w:p>
    <w:p w14:paraId="5D89AB1A">
      <w:pPr>
        <w:keepNext w:val="0"/>
        <w:keepLines w:val="0"/>
        <w:pageBreakBefore w:val="0"/>
        <w:kinsoku/>
        <w:overflowPunct/>
        <w:topLinePunct w:val="0"/>
        <w:autoSpaceDE/>
        <w:autoSpaceDN/>
        <w:bidi w:val="0"/>
        <w:adjustRightInd/>
        <w:snapToGrid/>
        <w:spacing w:line="580" w:lineRule="exact"/>
        <w:ind w:firstLine="640" w:firstLineChars="200"/>
        <w:textAlignment w:val="auto"/>
        <w:outlineLvl w:val="1"/>
        <w:rPr>
          <w:rFonts w:eastAsia="楷体_GB2312"/>
          <w:szCs w:val="32"/>
        </w:rPr>
      </w:pPr>
      <w:r>
        <w:rPr>
          <w:rFonts w:eastAsia="楷体_GB2312"/>
          <w:szCs w:val="32"/>
        </w:rPr>
        <w:t>（二）比赛时间及试题具体内容</w:t>
      </w:r>
    </w:p>
    <w:p w14:paraId="0575EF39">
      <w:pPr>
        <w:keepNext w:val="0"/>
        <w:keepLines w:val="0"/>
        <w:pageBreakBefore w:val="0"/>
        <w:widowControl/>
        <w:kinsoku/>
        <w:wordWrap w:val="0"/>
        <w:overflowPunct/>
        <w:topLinePunct w:val="0"/>
        <w:autoSpaceDE/>
        <w:autoSpaceDN/>
        <w:bidi w:val="0"/>
        <w:adjustRightInd/>
        <w:snapToGrid/>
        <w:spacing w:line="580" w:lineRule="exact"/>
        <w:ind w:firstLine="643" w:firstLineChars="200"/>
        <w:textAlignment w:val="auto"/>
        <w:rPr>
          <w:rFonts w:hint="eastAsia" w:ascii="仿宋_GB2312" w:hAnsi="仿宋_GB2312" w:cs="仿宋_GB2312"/>
          <w:b/>
          <w:bCs/>
        </w:rPr>
      </w:pPr>
      <w:r>
        <w:rPr>
          <w:rFonts w:hint="eastAsia" w:ascii="仿宋_GB2312" w:hAnsi="仿宋_GB2312" w:cs="仿宋_GB2312"/>
          <w:b/>
          <w:bCs/>
        </w:rPr>
        <w:t>1.比赛时间安排</w:t>
      </w:r>
    </w:p>
    <w:tbl>
      <w:tblPr>
        <w:tblStyle w:val="13"/>
        <w:tblW w:w="50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2"/>
        <w:gridCol w:w="1647"/>
        <w:gridCol w:w="4167"/>
        <w:gridCol w:w="953"/>
      </w:tblGrid>
      <w:tr w14:paraId="219C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97" w:type="pct"/>
            <w:vAlign w:val="center"/>
          </w:tcPr>
          <w:p w14:paraId="18670AF7">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b/>
                <w:bCs/>
                <w:sz w:val="24"/>
                <w:szCs w:val="24"/>
              </w:rPr>
            </w:pPr>
            <w:r>
              <w:rPr>
                <w:rFonts w:hint="eastAsia" w:ascii="仿宋_GB2312" w:hAnsi="仿宋_GB2312" w:cs="仿宋_GB2312"/>
                <w:b/>
                <w:bCs/>
                <w:sz w:val="24"/>
                <w:szCs w:val="24"/>
              </w:rPr>
              <w:t>赛程</w:t>
            </w:r>
          </w:p>
        </w:tc>
        <w:tc>
          <w:tcPr>
            <w:tcW w:w="950" w:type="pct"/>
            <w:vAlign w:val="center"/>
          </w:tcPr>
          <w:p w14:paraId="441C747B">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b/>
                <w:bCs/>
                <w:sz w:val="24"/>
                <w:szCs w:val="24"/>
              </w:rPr>
            </w:pPr>
            <w:r>
              <w:rPr>
                <w:rFonts w:hint="eastAsia" w:ascii="仿宋_GB2312" w:hAnsi="仿宋_GB2312" w:cs="仿宋_GB2312"/>
                <w:b/>
                <w:bCs/>
                <w:sz w:val="24"/>
                <w:szCs w:val="24"/>
              </w:rPr>
              <w:t>方式</w:t>
            </w:r>
          </w:p>
        </w:tc>
        <w:tc>
          <w:tcPr>
            <w:tcW w:w="2952" w:type="pct"/>
            <w:gridSpan w:val="2"/>
            <w:vAlign w:val="center"/>
          </w:tcPr>
          <w:p w14:paraId="12AD68DB">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b/>
                <w:bCs/>
                <w:sz w:val="24"/>
                <w:szCs w:val="24"/>
              </w:rPr>
            </w:pPr>
            <w:r>
              <w:rPr>
                <w:rFonts w:hint="eastAsia" w:ascii="仿宋_GB2312" w:hAnsi="仿宋_GB2312" w:cs="仿宋_GB2312"/>
                <w:b/>
                <w:bCs/>
                <w:sz w:val="24"/>
                <w:szCs w:val="24"/>
              </w:rPr>
              <w:t>竞赛时间（分钟）</w:t>
            </w:r>
          </w:p>
        </w:tc>
      </w:tr>
      <w:tr w14:paraId="0194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097" w:type="pct"/>
            <w:vAlign w:val="center"/>
          </w:tcPr>
          <w:p w14:paraId="039D6B72">
            <w:pPr>
              <w:keepNext w:val="0"/>
              <w:keepLines w:val="0"/>
              <w:pageBreakBefore w:val="0"/>
              <w:widowControl w:val="0"/>
              <w:kinsoku/>
              <w:overflowPunct/>
              <w:topLinePunct w:val="0"/>
              <w:autoSpaceDE/>
              <w:autoSpaceDN/>
              <w:bidi w:val="0"/>
              <w:adjustRightInd/>
              <w:snapToGrid/>
              <w:spacing w:line="0" w:lineRule="atLeast"/>
              <w:jc w:val="center"/>
              <w:textAlignment w:val="center"/>
              <w:rPr>
                <w:rFonts w:hint="eastAsia" w:ascii="仿宋_GB2312" w:hAnsi="仿宋_GB2312" w:cs="仿宋_GB2312"/>
                <w:b/>
                <w:bCs/>
                <w:sz w:val="24"/>
                <w:szCs w:val="24"/>
              </w:rPr>
            </w:pPr>
            <w:r>
              <w:rPr>
                <w:rFonts w:ascii="仿宋_GB2312" w:hAnsi="仿宋_GB2312" w:cs="仿宋_GB2312"/>
                <w:b/>
                <w:bCs/>
                <w:sz w:val="24"/>
                <w:szCs w:val="24"/>
              </w:rPr>
              <w:t>初赛</w:t>
            </w:r>
          </w:p>
          <w:p w14:paraId="492FB048">
            <w:pPr>
              <w:keepNext w:val="0"/>
              <w:keepLines w:val="0"/>
              <w:pageBreakBefore w:val="0"/>
              <w:widowControl w:val="0"/>
              <w:kinsoku/>
              <w:overflowPunct/>
              <w:topLinePunct w:val="0"/>
              <w:autoSpaceDE/>
              <w:autoSpaceDN/>
              <w:bidi w:val="0"/>
              <w:adjustRightInd/>
              <w:snapToGrid/>
              <w:spacing w:line="0" w:lineRule="atLeast"/>
              <w:jc w:val="center"/>
              <w:textAlignment w:val="center"/>
              <w:rPr>
                <w:sz w:val="24"/>
                <w:szCs w:val="24"/>
                <w:lang w:val="en"/>
              </w:rPr>
            </w:pPr>
            <w:r>
              <w:rPr>
                <w:rFonts w:hint="eastAsia" w:ascii="仿宋_GB2312" w:hAnsi="仿宋_GB2312" w:cs="仿宋_GB2312"/>
                <w:sz w:val="24"/>
                <w:szCs w:val="24"/>
              </w:rPr>
              <w:t>（理论知识）</w:t>
            </w:r>
          </w:p>
        </w:tc>
        <w:tc>
          <w:tcPr>
            <w:tcW w:w="950" w:type="pct"/>
            <w:vAlign w:val="center"/>
          </w:tcPr>
          <w:p w14:paraId="458A9904">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rPr>
            </w:pPr>
            <w:r>
              <w:rPr>
                <w:rFonts w:hint="eastAsia" w:ascii="仿宋_GB2312" w:hAnsi="仿宋_GB2312" w:cs="仿宋_GB2312"/>
                <w:sz w:val="24"/>
                <w:szCs w:val="24"/>
              </w:rPr>
              <w:t>上机考核</w:t>
            </w:r>
          </w:p>
        </w:tc>
        <w:tc>
          <w:tcPr>
            <w:tcW w:w="2952" w:type="pct"/>
            <w:gridSpan w:val="2"/>
            <w:vAlign w:val="center"/>
          </w:tcPr>
          <w:p w14:paraId="711D06A4">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rPr>
            </w:pPr>
            <w:r>
              <w:rPr>
                <w:rFonts w:hint="eastAsia" w:ascii="仿宋_GB2312" w:hAnsi="仿宋_GB2312" w:cs="仿宋_GB2312"/>
                <w:sz w:val="24"/>
                <w:szCs w:val="24"/>
              </w:rPr>
              <w:t>60</w:t>
            </w:r>
          </w:p>
        </w:tc>
      </w:tr>
      <w:tr w14:paraId="44A4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pct"/>
            <w:vMerge w:val="restart"/>
            <w:vAlign w:val="center"/>
          </w:tcPr>
          <w:p w14:paraId="41A7552B">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b/>
                <w:bCs/>
                <w:sz w:val="24"/>
                <w:szCs w:val="24"/>
              </w:rPr>
            </w:pPr>
            <w:r>
              <w:rPr>
                <w:rFonts w:ascii="仿宋_GB2312" w:hAnsi="仿宋_GB2312" w:cs="仿宋_GB2312"/>
                <w:b/>
                <w:bCs/>
                <w:sz w:val="24"/>
                <w:szCs w:val="24"/>
              </w:rPr>
              <w:t>决赛</w:t>
            </w:r>
          </w:p>
          <w:p w14:paraId="4B7B189B">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sz w:val="24"/>
                <w:szCs w:val="24"/>
              </w:rPr>
            </w:pPr>
            <w:r>
              <w:rPr>
                <w:rFonts w:hint="eastAsia" w:ascii="仿宋_GB2312" w:hAnsi="仿宋_GB2312" w:cs="仿宋_GB2312"/>
                <w:sz w:val="24"/>
                <w:szCs w:val="24"/>
              </w:rPr>
              <w:t>（实际操作）</w:t>
            </w:r>
          </w:p>
        </w:tc>
        <w:tc>
          <w:tcPr>
            <w:tcW w:w="950" w:type="pct"/>
            <w:vMerge w:val="restart"/>
            <w:vAlign w:val="center"/>
          </w:tcPr>
          <w:p w14:paraId="4C6BCA46">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rPr>
            </w:pPr>
            <w:r>
              <w:rPr>
                <w:rFonts w:hint="eastAsia" w:ascii="仿宋_GB2312" w:hAnsi="仿宋_GB2312" w:cs="仿宋_GB2312"/>
                <w:sz w:val="24"/>
                <w:szCs w:val="24"/>
              </w:rPr>
              <w:t>现场实操</w:t>
            </w:r>
          </w:p>
        </w:tc>
        <w:tc>
          <w:tcPr>
            <w:tcW w:w="2403" w:type="pct"/>
            <w:vAlign w:val="center"/>
          </w:tcPr>
          <w:p w14:paraId="2DF3BE24">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rPr>
            </w:pPr>
            <w:r>
              <w:rPr>
                <w:rFonts w:hint="eastAsia" w:ascii="仿宋_GB2312" w:hAnsi="仿宋_GB2312" w:cs="仿宋_GB2312"/>
                <w:sz w:val="24"/>
                <w:szCs w:val="24"/>
              </w:rPr>
              <w:t>模块A：硬件系统组装</w:t>
            </w:r>
          </w:p>
        </w:tc>
        <w:tc>
          <w:tcPr>
            <w:tcW w:w="548" w:type="pct"/>
            <w:vMerge w:val="restart"/>
            <w:vAlign w:val="center"/>
          </w:tcPr>
          <w:p w14:paraId="35A98D72">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rPr>
            </w:pPr>
            <w:r>
              <w:rPr>
                <w:rFonts w:hint="eastAsia" w:ascii="仿宋_GB2312" w:hAnsi="仿宋_GB2312" w:cs="仿宋_GB2312"/>
                <w:sz w:val="24"/>
                <w:szCs w:val="24"/>
              </w:rPr>
              <w:t>120</w:t>
            </w:r>
          </w:p>
        </w:tc>
      </w:tr>
      <w:tr w14:paraId="2439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pct"/>
            <w:vMerge w:val="continue"/>
            <w:vAlign w:val="center"/>
          </w:tcPr>
          <w:p w14:paraId="65843B7F">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rPr>
            </w:pPr>
          </w:p>
        </w:tc>
        <w:tc>
          <w:tcPr>
            <w:tcW w:w="950" w:type="pct"/>
            <w:vMerge w:val="continue"/>
            <w:vAlign w:val="center"/>
          </w:tcPr>
          <w:p w14:paraId="1CEB5387">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rPr>
            </w:pPr>
          </w:p>
        </w:tc>
        <w:tc>
          <w:tcPr>
            <w:tcW w:w="2403" w:type="pct"/>
            <w:vAlign w:val="center"/>
          </w:tcPr>
          <w:p w14:paraId="162CEBFF">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rPr>
            </w:pPr>
            <w:r>
              <w:rPr>
                <w:rFonts w:hint="eastAsia" w:ascii="仿宋_GB2312" w:hAnsi="仿宋_GB2312" w:cs="仿宋_GB2312"/>
                <w:sz w:val="24"/>
                <w:szCs w:val="24"/>
              </w:rPr>
              <w:t>模块B：软件工程创建及系统调试</w:t>
            </w:r>
          </w:p>
        </w:tc>
        <w:tc>
          <w:tcPr>
            <w:tcW w:w="548" w:type="pct"/>
            <w:vMerge w:val="continue"/>
            <w:vAlign w:val="center"/>
          </w:tcPr>
          <w:p w14:paraId="373FC372">
            <w:pPr>
              <w:pStyle w:val="6"/>
              <w:keepNext w:val="0"/>
              <w:keepLines w:val="0"/>
              <w:pageBreakBefore w:val="0"/>
              <w:widowControl w:val="0"/>
              <w:kinsoku/>
              <w:wordWrap w:val="0"/>
              <w:overflowPunct/>
              <w:topLinePunct w:val="0"/>
              <w:autoSpaceDE/>
              <w:autoSpaceDN/>
              <w:bidi w:val="0"/>
              <w:adjustRightInd/>
              <w:snapToGrid/>
              <w:spacing w:line="0" w:lineRule="atLeast"/>
              <w:textAlignment w:val="center"/>
              <w:rPr>
                <w:rFonts w:hint="eastAsia" w:ascii="仿宋_GB2312" w:hAnsi="仿宋_GB2312" w:cs="仿宋_GB2312"/>
                <w:sz w:val="24"/>
                <w:szCs w:val="24"/>
              </w:rPr>
            </w:pPr>
          </w:p>
        </w:tc>
      </w:tr>
      <w:tr w14:paraId="539C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pct"/>
            <w:vMerge w:val="continue"/>
            <w:vAlign w:val="center"/>
          </w:tcPr>
          <w:p w14:paraId="57A29B58">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rPr>
            </w:pPr>
          </w:p>
        </w:tc>
        <w:tc>
          <w:tcPr>
            <w:tcW w:w="950" w:type="pct"/>
            <w:vMerge w:val="continue"/>
            <w:vAlign w:val="center"/>
          </w:tcPr>
          <w:p w14:paraId="142E6746">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rPr>
            </w:pPr>
          </w:p>
        </w:tc>
        <w:tc>
          <w:tcPr>
            <w:tcW w:w="2403" w:type="pct"/>
            <w:vAlign w:val="center"/>
          </w:tcPr>
          <w:p w14:paraId="50646916">
            <w:pPr>
              <w:pStyle w:val="6"/>
              <w:keepNext w:val="0"/>
              <w:keepLines w:val="0"/>
              <w:pageBreakBefore w:val="0"/>
              <w:widowControl w:val="0"/>
              <w:kinsoku/>
              <w:wordWrap w:val="0"/>
              <w:overflowPunct/>
              <w:topLinePunct w:val="0"/>
              <w:autoSpaceDE/>
              <w:autoSpaceDN/>
              <w:bidi w:val="0"/>
              <w:adjustRightInd/>
              <w:snapToGrid/>
              <w:spacing w:line="0" w:lineRule="atLeast"/>
              <w:jc w:val="center"/>
              <w:textAlignment w:val="center"/>
              <w:rPr>
                <w:rFonts w:hint="eastAsia" w:ascii="仿宋_GB2312" w:hAnsi="仿宋_GB2312" w:cs="仿宋_GB2312"/>
                <w:sz w:val="24"/>
                <w:szCs w:val="24"/>
                <w:lang w:val="en"/>
              </w:rPr>
            </w:pPr>
            <w:r>
              <w:rPr>
                <w:rFonts w:hint="eastAsia" w:ascii="仿宋_GB2312" w:hAnsi="仿宋_GB2312" w:cs="仿宋_GB2312"/>
                <w:sz w:val="24"/>
                <w:szCs w:val="24"/>
                <w:lang w:val="en"/>
              </w:rPr>
              <w:t>模块C：系统功能实现</w:t>
            </w:r>
          </w:p>
        </w:tc>
        <w:tc>
          <w:tcPr>
            <w:tcW w:w="548" w:type="pct"/>
            <w:vMerge w:val="continue"/>
            <w:vAlign w:val="center"/>
          </w:tcPr>
          <w:p w14:paraId="564FEF4C">
            <w:pPr>
              <w:pStyle w:val="6"/>
              <w:keepNext w:val="0"/>
              <w:keepLines w:val="0"/>
              <w:pageBreakBefore w:val="0"/>
              <w:widowControl w:val="0"/>
              <w:kinsoku/>
              <w:wordWrap w:val="0"/>
              <w:overflowPunct/>
              <w:topLinePunct w:val="0"/>
              <w:autoSpaceDE/>
              <w:autoSpaceDN/>
              <w:bidi w:val="0"/>
              <w:adjustRightInd/>
              <w:snapToGrid/>
              <w:spacing w:line="0" w:lineRule="atLeast"/>
              <w:textAlignment w:val="center"/>
              <w:rPr>
                <w:rFonts w:hint="eastAsia" w:ascii="仿宋_GB2312" w:hAnsi="仿宋_GB2312" w:cs="仿宋_GB2312"/>
                <w:sz w:val="24"/>
                <w:szCs w:val="24"/>
              </w:rPr>
            </w:pPr>
          </w:p>
        </w:tc>
      </w:tr>
    </w:tbl>
    <w:p w14:paraId="288876E9">
      <w:pPr>
        <w:keepNext w:val="0"/>
        <w:keepLines w:val="0"/>
        <w:pageBreakBefore w:val="0"/>
        <w:widowControl/>
        <w:wordWrap/>
        <w:overflowPunct/>
        <w:topLinePunct w:val="0"/>
        <w:autoSpaceDE/>
        <w:autoSpaceDN/>
        <w:bidi w:val="0"/>
        <w:adjustRightInd/>
        <w:snapToGrid/>
        <w:spacing w:line="580" w:lineRule="exact"/>
        <w:ind w:firstLine="643" w:firstLineChars="200"/>
        <w:textAlignment w:val="auto"/>
        <w:rPr>
          <w:rFonts w:hint="eastAsia" w:ascii="仿宋_GB2312" w:hAnsi="仿宋_GB2312" w:cs="仿宋_GB2312"/>
          <w:color w:val="auto"/>
          <w:sz w:val="32"/>
          <w:szCs w:val="32"/>
        </w:rPr>
      </w:pPr>
      <w:r>
        <w:rPr>
          <w:rFonts w:hint="eastAsia" w:ascii="仿宋_GB2312" w:hAnsi="仿宋_GB2312" w:cs="仿宋_GB2312"/>
          <w:b/>
          <w:bCs/>
          <w:color w:val="auto"/>
          <w:sz w:val="32"/>
          <w:szCs w:val="32"/>
        </w:rPr>
        <w:t>2.初赛试题。</w:t>
      </w:r>
      <w:r>
        <w:rPr>
          <w:color w:val="auto"/>
          <w:sz w:val="32"/>
          <w:szCs w:val="32"/>
        </w:rPr>
        <w:t>采用计算机</w:t>
      </w:r>
      <w:r>
        <w:rPr>
          <w:rFonts w:hint="eastAsia"/>
          <w:color w:val="auto"/>
          <w:sz w:val="32"/>
          <w:szCs w:val="32"/>
        </w:rPr>
        <w:t>竞赛系统</w:t>
      </w:r>
      <w:r>
        <w:rPr>
          <w:rFonts w:hint="eastAsia" w:ascii="仿宋_GB2312" w:hAnsi="仿宋_GB2312" w:cs="仿宋_GB2312"/>
          <w:color w:val="auto"/>
          <w:sz w:val="32"/>
          <w:szCs w:val="32"/>
        </w:rPr>
        <w:t>从公布的题库中随机抽取试卷题量的70%和命题专家现场编制的30%组成正式赛题。</w:t>
      </w:r>
      <w:r>
        <w:rPr>
          <w:rFonts w:hint="eastAsia"/>
          <w:color w:val="auto"/>
          <w:sz w:val="32"/>
          <w:szCs w:val="32"/>
        </w:rPr>
        <w:t>主要考核</w:t>
      </w:r>
      <w:r>
        <w:rPr>
          <w:rFonts w:hint="eastAsia"/>
          <w:color w:val="auto"/>
          <w:sz w:val="32"/>
          <w:szCs w:val="32"/>
          <w:lang w:eastAsia="zh-CN"/>
        </w:rPr>
        <w:t>智能硬件装调员（集成电路方向）</w:t>
      </w:r>
      <w:r>
        <w:rPr>
          <w:rFonts w:hint="eastAsia"/>
          <w:color w:val="auto"/>
          <w:sz w:val="32"/>
          <w:szCs w:val="32"/>
        </w:rPr>
        <w:t>需掌握智能硬件装调基本知识、智能硬件装调基本技能、智能硬件产品的设计与生产、智能硬件应用的组装安装与实施、智能硬件应用的维修、智能硬件应用的优化</w:t>
      </w:r>
      <w:r>
        <w:rPr>
          <w:rFonts w:hint="eastAsia" w:ascii="仿宋_GB2312" w:hAnsi="仿宋_GB2312" w:cs="仿宋_GB2312"/>
          <w:color w:val="auto"/>
          <w:sz w:val="32"/>
          <w:szCs w:val="32"/>
        </w:rPr>
        <w:t>等方面</w:t>
      </w:r>
      <w:r>
        <w:rPr>
          <w:rFonts w:hint="eastAsia"/>
          <w:color w:val="auto"/>
          <w:sz w:val="32"/>
          <w:szCs w:val="32"/>
        </w:rPr>
        <w:t>的理论知识，</w:t>
      </w:r>
      <w:r>
        <w:rPr>
          <w:rFonts w:hint="eastAsia" w:ascii="仿宋_GB2312" w:hAnsi="仿宋_GB2312" w:cs="仿宋_GB2312"/>
          <w:color w:val="auto"/>
          <w:sz w:val="32"/>
          <w:szCs w:val="32"/>
        </w:rPr>
        <w:t>题型为单选题、多选题、判断题，满分为100分。其中，单选题70题，每题1分；多选题10题，每题2分；判断题20题，每题0.5分。</w:t>
      </w:r>
    </w:p>
    <w:p w14:paraId="1646A196">
      <w:pPr>
        <w:keepNext w:val="0"/>
        <w:keepLines w:val="0"/>
        <w:pageBreakBefore w:val="0"/>
        <w:kinsoku w:val="0"/>
        <w:wordWrap/>
        <w:overflowPunct/>
        <w:topLinePunct w:val="0"/>
        <w:autoSpaceDE/>
        <w:autoSpaceDN/>
        <w:bidi w:val="0"/>
        <w:adjustRightInd/>
        <w:snapToGrid/>
        <w:spacing w:line="580" w:lineRule="exact"/>
        <w:ind w:firstLine="643" w:firstLineChars="200"/>
        <w:textAlignment w:val="auto"/>
        <w:rPr>
          <w:rFonts w:hint="eastAsia" w:ascii="仿宋_GB2312" w:hAnsi="仿宋_GB2312" w:cs="仿宋_GB2312"/>
          <w:sz w:val="32"/>
          <w:szCs w:val="32"/>
        </w:rPr>
      </w:pPr>
      <w:r>
        <w:rPr>
          <w:rFonts w:hint="eastAsia" w:ascii="仿宋_GB2312" w:hAnsi="仿宋_GB2312" w:cs="仿宋_GB2312"/>
          <w:b/>
          <w:bCs/>
          <w:sz w:val="32"/>
          <w:szCs w:val="32"/>
        </w:rPr>
        <w:t>3.决赛试题。</w:t>
      </w:r>
      <w:r>
        <w:rPr>
          <w:rFonts w:hint="eastAsia" w:ascii="仿宋_GB2312" w:hAnsi="仿宋_GB2312" w:cs="仿宋_GB2312"/>
          <w:bCs/>
          <w:sz w:val="32"/>
          <w:szCs w:val="32"/>
        </w:rPr>
        <w:t>选手按赛场提供的实操任务书以现场实际操作的方式完成</w:t>
      </w:r>
      <w:r>
        <w:rPr>
          <w:rFonts w:hint="eastAsia" w:ascii="仿宋_GB2312" w:hAnsi="仿宋_GB2312" w:cs="仿宋_GB2312"/>
          <w:sz w:val="32"/>
          <w:szCs w:val="32"/>
        </w:rPr>
        <w:t>三个项目的实际操作，具体内容如下：</w:t>
      </w:r>
    </w:p>
    <w:tbl>
      <w:tblPr>
        <w:tblStyle w:val="1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7"/>
        <w:gridCol w:w="6420"/>
      </w:tblGrid>
      <w:tr w14:paraId="091F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95" w:type="pct"/>
            <w:vAlign w:val="center"/>
          </w:tcPr>
          <w:p w14:paraId="2EB1C246">
            <w:pPr>
              <w:keepNext w:val="0"/>
              <w:keepLines w:val="0"/>
              <w:pageBreakBefore w:val="0"/>
              <w:widowControl/>
              <w:kinsoku/>
              <w:wordWrap/>
              <w:overflowPunct/>
              <w:topLinePunct w:val="0"/>
              <w:autoSpaceDE/>
              <w:autoSpaceDN/>
              <w:bidi w:val="0"/>
              <w:adjustRightInd/>
              <w:spacing w:line="0" w:lineRule="atLeast"/>
              <w:jc w:val="center"/>
              <w:textAlignment w:val="center"/>
              <w:rPr>
                <w:rFonts w:hint="eastAsia" w:ascii="仿宋_GB2312" w:hAnsi="仿宋_GB2312" w:cs="仿宋_GB2312"/>
                <w:b/>
                <w:bCs/>
                <w:sz w:val="24"/>
                <w:szCs w:val="24"/>
              </w:rPr>
            </w:pPr>
            <w:r>
              <w:rPr>
                <w:rFonts w:hint="eastAsia" w:ascii="仿宋_GB2312" w:hAnsi="仿宋_GB2312" w:cs="仿宋_GB2312"/>
                <w:b/>
                <w:bCs/>
                <w:sz w:val="24"/>
                <w:szCs w:val="24"/>
              </w:rPr>
              <w:t>竞赛模块</w:t>
            </w:r>
          </w:p>
        </w:tc>
        <w:tc>
          <w:tcPr>
            <w:tcW w:w="3804" w:type="pct"/>
            <w:vAlign w:val="center"/>
          </w:tcPr>
          <w:p w14:paraId="7476B58B">
            <w:pPr>
              <w:keepNext w:val="0"/>
              <w:keepLines w:val="0"/>
              <w:pageBreakBefore w:val="0"/>
              <w:widowControl/>
              <w:kinsoku/>
              <w:wordWrap/>
              <w:overflowPunct/>
              <w:topLinePunct w:val="0"/>
              <w:autoSpaceDE/>
              <w:autoSpaceDN/>
              <w:bidi w:val="0"/>
              <w:adjustRightInd/>
              <w:spacing w:line="0" w:lineRule="atLeast"/>
              <w:jc w:val="center"/>
              <w:textAlignment w:val="center"/>
              <w:rPr>
                <w:rFonts w:hint="eastAsia" w:ascii="仿宋_GB2312" w:hAnsi="仿宋_GB2312" w:cs="仿宋_GB2312"/>
                <w:b/>
                <w:bCs/>
                <w:sz w:val="24"/>
                <w:szCs w:val="24"/>
              </w:rPr>
            </w:pPr>
            <w:r>
              <w:rPr>
                <w:rFonts w:hint="eastAsia" w:ascii="仿宋_GB2312" w:hAnsi="仿宋_GB2312" w:cs="仿宋_GB2312"/>
                <w:b/>
                <w:bCs/>
                <w:sz w:val="24"/>
                <w:szCs w:val="24"/>
              </w:rPr>
              <w:t>考核内容</w:t>
            </w:r>
          </w:p>
        </w:tc>
      </w:tr>
      <w:tr w14:paraId="6650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1195" w:type="pct"/>
            <w:vAlign w:val="center"/>
          </w:tcPr>
          <w:p w14:paraId="1954C182">
            <w:pPr>
              <w:keepNext w:val="0"/>
              <w:keepLines w:val="0"/>
              <w:pageBreakBefore w:val="0"/>
              <w:kinsoku/>
              <w:wordWrap/>
              <w:overflowPunct/>
              <w:topLinePunct w:val="0"/>
              <w:autoSpaceDE/>
              <w:autoSpaceDN/>
              <w:bidi w:val="0"/>
              <w:adjustRightInd/>
              <w:spacing w:line="0" w:lineRule="atLeast"/>
              <w:rPr>
                <w:rFonts w:hint="eastAsia" w:ascii="仿宋_GB2312" w:hAnsi="仿宋_GB2312" w:cs="仿宋_GB2312"/>
                <w:sz w:val="24"/>
                <w:szCs w:val="24"/>
              </w:rPr>
            </w:pPr>
            <w:r>
              <w:rPr>
                <w:rFonts w:hint="eastAsia" w:ascii="仿宋_GB2312" w:hAnsi="仿宋_GB2312" w:cs="仿宋_GB2312"/>
                <w:sz w:val="24"/>
                <w:szCs w:val="24"/>
                <w:lang w:val="en-US" w:eastAsia="zh-CN"/>
              </w:rPr>
              <w:t>模块A</w:t>
            </w:r>
            <w:r>
              <w:rPr>
                <w:rFonts w:hint="eastAsia" w:cs="仿宋_GB2312"/>
                <w:sz w:val="24"/>
                <w:szCs w:val="24"/>
              </w:rPr>
              <w:t>：</w:t>
            </w:r>
          </w:p>
          <w:p w14:paraId="63904EEC">
            <w:pPr>
              <w:keepNext w:val="0"/>
              <w:keepLines w:val="0"/>
              <w:pageBreakBefore w:val="0"/>
              <w:kinsoku/>
              <w:wordWrap/>
              <w:overflowPunct/>
              <w:topLinePunct w:val="0"/>
              <w:autoSpaceDE/>
              <w:autoSpaceDN/>
              <w:bidi w:val="0"/>
              <w:adjustRightInd/>
              <w:snapToGrid w:val="0"/>
              <w:spacing w:line="0" w:lineRule="atLeast"/>
              <w:rPr>
                <w:rFonts w:hint="default" w:ascii="仿宋_GB2312" w:hAnsi="仿宋_GB2312" w:cs="仿宋_GB2312"/>
                <w:sz w:val="24"/>
                <w:szCs w:val="24"/>
                <w:lang w:val="en-US"/>
              </w:rPr>
            </w:pPr>
            <w:r>
              <w:rPr>
                <w:rFonts w:hint="eastAsia" w:ascii="仿宋_GB2312" w:hAnsi="仿宋_GB2312" w:cs="仿宋_GB2312"/>
                <w:sz w:val="24"/>
                <w:szCs w:val="24"/>
                <w:lang w:val="en-US" w:eastAsia="zh-CN"/>
              </w:rPr>
              <w:t>硬件系统组装</w:t>
            </w:r>
          </w:p>
        </w:tc>
        <w:tc>
          <w:tcPr>
            <w:tcW w:w="3804" w:type="pct"/>
            <w:vAlign w:val="center"/>
          </w:tcPr>
          <w:p w14:paraId="3230A481">
            <w:pPr>
              <w:keepNext w:val="0"/>
              <w:keepLines w:val="0"/>
              <w:pageBreakBefore w:val="0"/>
              <w:widowControl/>
              <w:numPr>
                <w:ilvl w:val="0"/>
                <w:numId w:val="2"/>
              </w:numPr>
              <w:kinsoku/>
              <w:wordWrap/>
              <w:overflowPunct/>
              <w:topLinePunct w:val="0"/>
              <w:autoSpaceDE/>
              <w:autoSpaceDN/>
              <w:bidi w:val="0"/>
              <w:adjustRightInd/>
              <w:spacing w:line="0" w:lineRule="atLeast"/>
              <w:textAlignment w:val="center"/>
              <w:rPr>
                <w:rFonts w:hint="eastAsia" w:ascii="仿宋_GB2312" w:hAnsi="仿宋_GB2312" w:cs="仿宋_GB2312"/>
                <w:sz w:val="24"/>
                <w:szCs w:val="24"/>
              </w:rPr>
            </w:pPr>
            <w:r>
              <w:rPr>
                <w:rFonts w:hint="eastAsia" w:ascii="仿宋_GB2312" w:hAnsi="仿宋_GB2312" w:cs="仿宋_GB2312"/>
                <w:sz w:val="24"/>
                <w:szCs w:val="24"/>
              </w:rPr>
              <w:t>依据官方提供的引脚分配表，将所有核心器件（按键、流水灯、温湿度传感器、数码管） 正确、稳固地连接到GD32E235核心板上。</w:t>
            </w:r>
          </w:p>
          <w:p w14:paraId="0F23AA81">
            <w:pPr>
              <w:keepNext w:val="0"/>
              <w:keepLines w:val="0"/>
              <w:pageBreakBefore w:val="0"/>
              <w:widowControl/>
              <w:numPr>
                <w:ilvl w:val="0"/>
                <w:numId w:val="2"/>
              </w:numPr>
              <w:kinsoku/>
              <w:wordWrap/>
              <w:overflowPunct/>
              <w:topLinePunct w:val="0"/>
              <w:autoSpaceDE/>
              <w:autoSpaceDN/>
              <w:bidi w:val="0"/>
              <w:adjustRightInd/>
              <w:spacing w:line="0" w:lineRule="atLeast"/>
              <w:textAlignment w:val="center"/>
              <w:rPr>
                <w:rFonts w:hint="eastAsia" w:ascii="仿宋_GB2312" w:hAnsi="仿宋_GB2312" w:cs="仿宋_GB2312"/>
                <w:sz w:val="24"/>
                <w:szCs w:val="24"/>
              </w:rPr>
            </w:pPr>
            <w:r>
              <w:rPr>
                <w:rFonts w:hint="eastAsia" w:ascii="仿宋_GB2312" w:hAnsi="仿宋_GB2312" w:cs="仿宋_GB2312"/>
                <w:sz w:val="24"/>
                <w:szCs w:val="24"/>
              </w:rPr>
              <w:t>进行基本通电测试，确保所有模块均能正常工作。</w:t>
            </w:r>
          </w:p>
        </w:tc>
      </w:tr>
      <w:tr w14:paraId="1A2D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9" w:hRule="atLeast"/>
          <w:jc w:val="center"/>
        </w:trPr>
        <w:tc>
          <w:tcPr>
            <w:tcW w:w="1195" w:type="pct"/>
            <w:vAlign w:val="center"/>
          </w:tcPr>
          <w:p w14:paraId="451BB585">
            <w:pPr>
              <w:keepNext w:val="0"/>
              <w:keepLines w:val="0"/>
              <w:pageBreakBefore w:val="0"/>
              <w:kinsoku/>
              <w:wordWrap/>
              <w:overflowPunct/>
              <w:topLinePunct w:val="0"/>
              <w:autoSpaceDE/>
              <w:autoSpaceDN/>
              <w:bidi w:val="0"/>
              <w:adjustRightInd/>
              <w:spacing w:line="0" w:lineRule="atLeast"/>
              <w:rPr>
                <w:rFonts w:hint="eastAsia" w:ascii="仿宋_GB2312" w:hAnsi="仿宋_GB2312" w:cs="仿宋_GB2312"/>
                <w:sz w:val="24"/>
                <w:szCs w:val="24"/>
              </w:rPr>
            </w:pPr>
            <w:r>
              <w:rPr>
                <w:rFonts w:hint="eastAsia" w:ascii="仿宋_GB2312" w:hAnsi="仿宋_GB2312" w:cs="仿宋_GB2312"/>
                <w:sz w:val="24"/>
                <w:szCs w:val="24"/>
                <w:lang w:val="en-US" w:eastAsia="zh-CN"/>
              </w:rPr>
              <w:t>模块B</w:t>
            </w:r>
            <w:r>
              <w:rPr>
                <w:rFonts w:hint="eastAsia" w:cs="仿宋_GB2312"/>
                <w:sz w:val="24"/>
                <w:szCs w:val="24"/>
              </w:rPr>
              <w:t>：</w:t>
            </w:r>
          </w:p>
          <w:p w14:paraId="530F779F">
            <w:pPr>
              <w:keepNext w:val="0"/>
              <w:keepLines w:val="0"/>
              <w:pageBreakBefore w:val="0"/>
              <w:kinsoku/>
              <w:wordWrap/>
              <w:overflowPunct/>
              <w:topLinePunct w:val="0"/>
              <w:autoSpaceDE/>
              <w:autoSpaceDN/>
              <w:bidi w:val="0"/>
              <w:adjustRightInd/>
              <w:snapToGrid w:val="0"/>
              <w:spacing w:line="0" w:lineRule="atLeast"/>
              <w:rPr>
                <w:rFonts w:hint="eastAsia" w:ascii="仿宋_GB2312" w:hAnsi="仿宋_GB2312" w:cs="仿宋_GB2312"/>
                <w:sz w:val="24"/>
                <w:szCs w:val="24"/>
              </w:rPr>
            </w:pPr>
            <w:r>
              <w:rPr>
                <w:rFonts w:hint="eastAsia" w:ascii="仿宋_GB2312" w:hAnsi="仿宋_GB2312" w:cs="仿宋_GB2312"/>
                <w:sz w:val="24"/>
                <w:szCs w:val="24"/>
              </w:rPr>
              <w:t>软件工程创建及系统调试</w:t>
            </w:r>
          </w:p>
        </w:tc>
        <w:tc>
          <w:tcPr>
            <w:tcW w:w="3804" w:type="pct"/>
            <w:vAlign w:val="center"/>
          </w:tcPr>
          <w:p w14:paraId="136CF378">
            <w:pPr>
              <w:keepNext w:val="0"/>
              <w:keepLines w:val="0"/>
              <w:pageBreakBefore w:val="0"/>
              <w:widowControl/>
              <w:numPr>
                <w:ilvl w:val="0"/>
                <w:numId w:val="3"/>
              </w:numPr>
              <w:kinsoku/>
              <w:wordWrap/>
              <w:overflowPunct/>
              <w:topLinePunct w:val="0"/>
              <w:autoSpaceDE/>
              <w:autoSpaceDN/>
              <w:bidi w:val="0"/>
              <w:adjustRightInd/>
              <w:spacing w:line="0" w:lineRule="atLeast"/>
              <w:textAlignment w:val="center"/>
              <w:rPr>
                <w:rFonts w:hint="eastAsia" w:ascii="仿宋_GB2312" w:hAnsi="仿宋_GB2312" w:cs="仿宋_GB2312"/>
                <w:sz w:val="24"/>
                <w:szCs w:val="24"/>
              </w:rPr>
            </w:pPr>
            <w:r>
              <w:rPr>
                <w:rFonts w:hint="eastAsia" w:ascii="仿宋_GB2312" w:hAnsi="仿宋_GB2312" w:cs="仿宋_GB2312"/>
                <w:sz w:val="24"/>
                <w:szCs w:val="24"/>
              </w:rPr>
              <w:t>编写驱动代码，实现对DHT11数字温湿度传感器的数据读取。</w:t>
            </w:r>
          </w:p>
          <w:p w14:paraId="55C4FADD">
            <w:pPr>
              <w:keepNext w:val="0"/>
              <w:keepLines w:val="0"/>
              <w:pageBreakBefore w:val="0"/>
              <w:widowControl/>
              <w:numPr>
                <w:ilvl w:val="0"/>
                <w:numId w:val="3"/>
              </w:numPr>
              <w:kinsoku/>
              <w:wordWrap/>
              <w:overflowPunct/>
              <w:topLinePunct w:val="0"/>
              <w:autoSpaceDE/>
              <w:autoSpaceDN/>
              <w:bidi w:val="0"/>
              <w:adjustRightInd/>
              <w:spacing w:line="0" w:lineRule="atLeast"/>
              <w:textAlignment w:val="center"/>
              <w:rPr>
                <w:rFonts w:hint="eastAsia" w:ascii="仿宋_GB2312" w:hAnsi="仿宋_GB2312" w:cs="仿宋_GB2312"/>
                <w:sz w:val="24"/>
                <w:szCs w:val="24"/>
              </w:rPr>
            </w:pPr>
            <w:r>
              <w:rPr>
                <w:rFonts w:hint="eastAsia" w:ascii="仿宋_GB2312" w:hAnsi="仿宋_GB2312" w:cs="仿宋_GB2312"/>
                <w:sz w:val="24"/>
                <w:szCs w:val="24"/>
              </w:rPr>
              <w:t>将读取的温度和湿度数据进行格式化，例如温度显示为xx.x，湿度显示为 Hxx.x，并正确处理小数点。</w:t>
            </w:r>
          </w:p>
          <w:p w14:paraId="00D8D9F0">
            <w:pPr>
              <w:keepNext w:val="0"/>
              <w:keepLines w:val="0"/>
              <w:pageBreakBefore w:val="0"/>
              <w:widowControl/>
              <w:numPr>
                <w:ilvl w:val="0"/>
                <w:numId w:val="3"/>
              </w:numPr>
              <w:kinsoku/>
              <w:wordWrap/>
              <w:overflowPunct/>
              <w:topLinePunct w:val="0"/>
              <w:autoSpaceDE/>
              <w:autoSpaceDN/>
              <w:bidi w:val="0"/>
              <w:adjustRightInd/>
              <w:spacing w:line="0" w:lineRule="atLeast"/>
              <w:textAlignment w:val="center"/>
              <w:rPr>
                <w:rFonts w:hint="eastAsia" w:ascii="仿宋_GB2312" w:hAnsi="仿宋_GB2312" w:cs="仿宋_GB2312"/>
                <w:sz w:val="24"/>
                <w:szCs w:val="24"/>
              </w:rPr>
            </w:pPr>
            <w:r>
              <w:rPr>
                <w:rFonts w:hint="eastAsia" w:ascii="仿宋_GB2312" w:hAnsi="仿宋_GB2312" w:cs="仿宋_GB2312"/>
                <w:sz w:val="24"/>
                <w:szCs w:val="24"/>
              </w:rPr>
              <w:t>在四位数码管显示模块上交替显示温度和湿</w:t>
            </w:r>
            <w:r>
              <w:rPr>
                <w:rFonts w:hint="eastAsia" w:ascii="仿宋_GB2312" w:hAnsi="仿宋_GB2312" w:cs="仿宋_GB2312"/>
                <w:sz w:val="24"/>
                <w:szCs w:val="24"/>
                <w:lang w:eastAsia="zh-CN"/>
              </w:rPr>
              <w:t>度数</w:t>
            </w:r>
            <w:r>
              <w:rPr>
                <w:rFonts w:hint="eastAsia" w:ascii="仿宋_GB2312" w:hAnsi="仿宋_GB2312" w:cs="仿宋_GB2312"/>
                <w:sz w:val="24"/>
                <w:szCs w:val="24"/>
              </w:rPr>
              <w:t>据，每次切换间隔为2秒。</w:t>
            </w:r>
          </w:p>
        </w:tc>
      </w:tr>
      <w:tr w14:paraId="36A9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jc w:val="center"/>
        </w:trPr>
        <w:tc>
          <w:tcPr>
            <w:tcW w:w="1195" w:type="pct"/>
            <w:vAlign w:val="center"/>
          </w:tcPr>
          <w:p w14:paraId="5F2E26EE">
            <w:pPr>
              <w:keepNext w:val="0"/>
              <w:keepLines w:val="0"/>
              <w:pageBreakBefore w:val="0"/>
              <w:kinsoku/>
              <w:wordWrap/>
              <w:overflowPunct/>
              <w:topLinePunct w:val="0"/>
              <w:autoSpaceDE/>
              <w:autoSpaceDN/>
              <w:bidi w:val="0"/>
              <w:adjustRightInd/>
              <w:spacing w:line="0" w:lineRule="atLeast"/>
              <w:rPr>
                <w:rFonts w:hint="eastAsia" w:ascii="仿宋_GB2312" w:hAnsi="仿宋_GB2312" w:cs="仿宋_GB2312"/>
                <w:sz w:val="24"/>
                <w:szCs w:val="24"/>
              </w:rPr>
            </w:pPr>
            <w:r>
              <w:rPr>
                <w:rFonts w:hint="eastAsia" w:ascii="仿宋_GB2312" w:hAnsi="仿宋_GB2312" w:cs="仿宋_GB2312"/>
                <w:sz w:val="24"/>
                <w:szCs w:val="24"/>
                <w:lang w:val="en-US" w:eastAsia="zh-CN"/>
              </w:rPr>
              <w:t>模块C</w:t>
            </w:r>
            <w:r>
              <w:rPr>
                <w:rFonts w:hint="eastAsia" w:cs="仿宋_GB2312"/>
                <w:sz w:val="24"/>
                <w:szCs w:val="24"/>
              </w:rPr>
              <w:t>：</w:t>
            </w:r>
          </w:p>
          <w:p w14:paraId="08985484">
            <w:pPr>
              <w:keepNext w:val="0"/>
              <w:keepLines w:val="0"/>
              <w:pageBreakBefore w:val="0"/>
              <w:kinsoku/>
              <w:wordWrap/>
              <w:overflowPunct/>
              <w:topLinePunct w:val="0"/>
              <w:autoSpaceDE/>
              <w:autoSpaceDN/>
              <w:bidi w:val="0"/>
              <w:adjustRightInd/>
              <w:spacing w:line="0" w:lineRule="atLeast"/>
              <w:rPr>
                <w:rFonts w:hint="eastAsia" w:ascii="仿宋_GB2312" w:hAnsi="仿宋_GB2312" w:cs="仿宋_GB2312"/>
                <w:sz w:val="24"/>
                <w:szCs w:val="24"/>
              </w:rPr>
            </w:pPr>
            <w:r>
              <w:rPr>
                <w:rFonts w:hint="eastAsia" w:ascii="仿宋_GB2312" w:hAnsi="仿宋_GB2312" w:cs="仿宋_GB2312"/>
                <w:sz w:val="24"/>
                <w:szCs w:val="24"/>
                <w:lang w:val="en-US" w:eastAsia="zh-CN"/>
              </w:rPr>
              <w:t>系统</w:t>
            </w:r>
            <w:r>
              <w:rPr>
                <w:rFonts w:hint="eastAsia" w:ascii="仿宋_GB2312" w:hAnsi="仿宋_GB2312" w:cs="仿宋_GB2312"/>
                <w:sz w:val="24"/>
                <w:szCs w:val="24"/>
              </w:rPr>
              <w:t>功能实现</w:t>
            </w:r>
          </w:p>
        </w:tc>
        <w:tc>
          <w:tcPr>
            <w:tcW w:w="3804" w:type="pct"/>
          </w:tcPr>
          <w:p w14:paraId="56EEF1DE">
            <w:pPr>
              <w:keepNext w:val="0"/>
              <w:keepLines w:val="0"/>
              <w:pageBreakBefore w:val="0"/>
              <w:widowControl/>
              <w:numPr>
                <w:ilvl w:val="0"/>
                <w:numId w:val="4"/>
              </w:numPr>
              <w:kinsoku/>
              <w:wordWrap/>
              <w:overflowPunct/>
              <w:topLinePunct w:val="0"/>
              <w:autoSpaceDE/>
              <w:autoSpaceDN/>
              <w:bidi w:val="0"/>
              <w:adjustRightInd/>
              <w:spacing w:line="0" w:lineRule="atLeast"/>
              <w:textAlignment w:val="center"/>
              <w:rPr>
                <w:rFonts w:hint="eastAsia" w:ascii="仿宋_GB2312" w:hAnsi="仿宋_GB2312" w:cs="仿宋_GB2312"/>
                <w:sz w:val="24"/>
                <w:szCs w:val="24"/>
              </w:rPr>
            </w:pPr>
            <w:r>
              <w:rPr>
                <w:rFonts w:hint="eastAsia" w:ascii="仿宋_GB2312" w:hAnsi="仿宋_GB2312" w:cs="仿宋_GB2312"/>
                <w:sz w:val="24"/>
                <w:szCs w:val="24"/>
              </w:rPr>
              <w:t>配置按键GPIO，并编写代码实现按键消抖。</w:t>
            </w:r>
          </w:p>
          <w:p w14:paraId="27C1A80B">
            <w:pPr>
              <w:keepNext w:val="0"/>
              <w:keepLines w:val="0"/>
              <w:pageBreakBefore w:val="0"/>
              <w:widowControl/>
              <w:numPr>
                <w:ilvl w:val="0"/>
                <w:numId w:val="4"/>
              </w:numPr>
              <w:kinsoku/>
              <w:wordWrap/>
              <w:overflowPunct/>
              <w:topLinePunct w:val="0"/>
              <w:autoSpaceDE/>
              <w:autoSpaceDN/>
              <w:bidi w:val="0"/>
              <w:adjustRightInd/>
              <w:spacing w:line="0" w:lineRule="atLeast"/>
              <w:textAlignment w:val="center"/>
              <w:rPr>
                <w:rFonts w:hint="eastAsia" w:ascii="仿宋_GB2312" w:hAnsi="仿宋_GB2312" w:cs="仿宋_GB2312"/>
                <w:sz w:val="24"/>
                <w:szCs w:val="24"/>
              </w:rPr>
            </w:pPr>
            <w:r>
              <w:rPr>
                <w:rFonts w:hint="eastAsia" w:ascii="仿宋_GB2312" w:hAnsi="仿宋_GB2312" w:cs="仿宋_GB2312"/>
                <w:sz w:val="24"/>
                <w:szCs w:val="24"/>
              </w:rPr>
              <w:t>通过按键短按操作，控制8路LED流水灯模组的模式切换。</w:t>
            </w:r>
          </w:p>
          <w:p w14:paraId="4B587208">
            <w:pPr>
              <w:keepNext w:val="0"/>
              <w:keepLines w:val="0"/>
              <w:pageBreakBefore w:val="0"/>
              <w:widowControl/>
              <w:numPr>
                <w:ilvl w:val="0"/>
                <w:numId w:val="4"/>
              </w:numPr>
              <w:kinsoku/>
              <w:wordWrap/>
              <w:overflowPunct/>
              <w:topLinePunct w:val="0"/>
              <w:autoSpaceDE/>
              <w:autoSpaceDN/>
              <w:bidi w:val="0"/>
              <w:adjustRightInd/>
              <w:spacing w:line="0" w:lineRule="atLeast"/>
              <w:textAlignment w:val="center"/>
              <w:rPr>
                <w:rFonts w:hint="eastAsia" w:ascii="仿宋_GB2312" w:hAnsi="仿宋_GB2312" w:cs="仿宋_GB2312"/>
                <w:sz w:val="24"/>
                <w:szCs w:val="24"/>
              </w:rPr>
            </w:pPr>
            <w:r>
              <w:rPr>
                <w:rFonts w:hint="eastAsia" w:ascii="仿宋_GB2312" w:hAnsi="仿宋_GB2312" w:cs="仿宋_GB2312"/>
                <w:sz w:val="24"/>
                <w:szCs w:val="24"/>
              </w:rPr>
              <w:t>首次按下：流水灯以正向模式（从左到右）亮起。</w:t>
            </w:r>
          </w:p>
          <w:p w14:paraId="1B1B740D">
            <w:pPr>
              <w:keepNext w:val="0"/>
              <w:keepLines w:val="0"/>
              <w:pageBreakBefore w:val="0"/>
              <w:widowControl/>
              <w:numPr>
                <w:ilvl w:val="0"/>
                <w:numId w:val="4"/>
              </w:numPr>
              <w:kinsoku/>
              <w:wordWrap/>
              <w:overflowPunct/>
              <w:topLinePunct w:val="0"/>
              <w:autoSpaceDE/>
              <w:autoSpaceDN/>
              <w:bidi w:val="0"/>
              <w:adjustRightInd/>
              <w:spacing w:line="0" w:lineRule="atLeast"/>
              <w:textAlignment w:val="center"/>
              <w:rPr>
                <w:rFonts w:hint="eastAsia" w:ascii="仿宋_GB2312" w:hAnsi="仿宋_GB2312" w:cs="仿宋_GB2312"/>
                <w:sz w:val="24"/>
                <w:szCs w:val="24"/>
              </w:rPr>
            </w:pPr>
            <w:r>
              <w:rPr>
                <w:rFonts w:hint="eastAsia" w:ascii="仿宋_GB2312" w:hAnsi="仿宋_GB2312" w:cs="仿宋_GB2312"/>
                <w:sz w:val="24"/>
                <w:szCs w:val="24"/>
              </w:rPr>
              <w:t>再次按下：流水灯切换为反向模式（从右到左）。</w:t>
            </w:r>
          </w:p>
          <w:p w14:paraId="073FD3B8">
            <w:pPr>
              <w:keepNext w:val="0"/>
              <w:keepLines w:val="0"/>
              <w:pageBreakBefore w:val="0"/>
              <w:widowControl/>
              <w:numPr>
                <w:ilvl w:val="0"/>
                <w:numId w:val="4"/>
              </w:numPr>
              <w:kinsoku/>
              <w:wordWrap/>
              <w:overflowPunct/>
              <w:topLinePunct w:val="0"/>
              <w:autoSpaceDE/>
              <w:autoSpaceDN/>
              <w:bidi w:val="0"/>
              <w:adjustRightInd/>
              <w:spacing w:line="0" w:lineRule="atLeast"/>
              <w:textAlignment w:val="center"/>
              <w:rPr>
                <w:rFonts w:hint="eastAsia" w:ascii="仿宋_GB2312" w:hAnsi="仿宋_GB2312" w:cs="仿宋_GB2312"/>
                <w:sz w:val="24"/>
                <w:szCs w:val="24"/>
              </w:rPr>
            </w:pPr>
            <w:r>
              <w:rPr>
                <w:rFonts w:hint="eastAsia" w:ascii="仿宋_GB2312" w:hAnsi="仿宋_GB2312" w:cs="仿宋_GB2312"/>
                <w:sz w:val="24"/>
                <w:szCs w:val="24"/>
              </w:rPr>
              <w:t>第三次按下：流水灯熄灭。</w:t>
            </w:r>
          </w:p>
        </w:tc>
      </w:tr>
    </w:tbl>
    <w:p w14:paraId="2F2D7E08">
      <w:pPr>
        <w:spacing w:line="580" w:lineRule="exact"/>
        <w:ind w:firstLine="640" w:firstLineChars="200"/>
        <w:outlineLvl w:val="1"/>
        <w:rPr>
          <w:rFonts w:eastAsia="楷体_GB2312"/>
          <w:szCs w:val="32"/>
        </w:rPr>
      </w:pPr>
      <w:r>
        <w:rPr>
          <w:rFonts w:eastAsia="楷体_GB2312"/>
          <w:szCs w:val="32"/>
        </w:rPr>
        <w:t>（三）评判标准</w:t>
      </w:r>
    </w:p>
    <w:p w14:paraId="276DBF33">
      <w:pPr>
        <w:widowControl/>
        <w:wordWrap w:val="0"/>
        <w:spacing w:line="580" w:lineRule="exact"/>
        <w:ind w:firstLine="643" w:firstLineChars="200"/>
      </w:pPr>
      <w:r>
        <w:rPr>
          <w:rFonts w:hint="eastAsia" w:ascii="仿宋_GB2312" w:hAnsi="仿宋_GB2312" w:cs="仿宋_GB2312"/>
          <w:b/>
          <w:bCs/>
        </w:rPr>
        <w:t>1.分数权重</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4036"/>
        <w:gridCol w:w="808"/>
        <w:gridCol w:w="818"/>
        <w:gridCol w:w="1931"/>
      </w:tblGrid>
      <w:tr w14:paraId="5792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4" w:type="pct"/>
            <w:vAlign w:val="center"/>
          </w:tcPr>
          <w:p w14:paraId="384CCB7D">
            <w:pPr>
              <w:pStyle w:val="6"/>
              <w:wordWrap w:val="0"/>
              <w:spacing w:line="580" w:lineRule="exact"/>
              <w:jc w:val="center"/>
              <w:textAlignment w:val="center"/>
              <w:rPr>
                <w:rFonts w:hint="eastAsia" w:ascii="仿宋_GB2312" w:hAnsi="仿宋_GB2312" w:cs="仿宋_GB2312"/>
                <w:b/>
                <w:bCs/>
                <w:sz w:val="24"/>
                <w:szCs w:val="24"/>
              </w:rPr>
            </w:pPr>
            <w:r>
              <w:rPr>
                <w:rFonts w:hint="eastAsia" w:ascii="仿宋_GB2312" w:hAnsi="仿宋_GB2312" w:cs="仿宋_GB2312"/>
                <w:b/>
                <w:bCs/>
                <w:sz w:val="24"/>
                <w:szCs w:val="24"/>
              </w:rPr>
              <w:t>赛程</w:t>
            </w:r>
          </w:p>
        </w:tc>
        <w:tc>
          <w:tcPr>
            <w:tcW w:w="2368" w:type="pct"/>
            <w:vAlign w:val="center"/>
          </w:tcPr>
          <w:p w14:paraId="75274A95">
            <w:pPr>
              <w:pStyle w:val="6"/>
              <w:wordWrap w:val="0"/>
              <w:spacing w:line="580" w:lineRule="exact"/>
              <w:jc w:val="center"/>
              <w:textAlignment w:val="center"/>
              <w:rPr>
                <w:rFonts w:hint="eastAsia" w:ascii="仿宋_GB2312" w:hAnsi="仿宋_GB2312" w:cs="仿宋_GB2312"/>
                <w:b/>
                <w:bCs/>
                <w:sz w:val="24"/>
                <w:szCs w:val="24"/>
              </w:rPr>
            </w:pPr>
            <w:r>
              <w:rPr>
                <w:rFonts w:hint="eastAsia" w:ascii="仿宋_GB2312" w:hAnsi="仿宋_GB2312" w:cs="仿宋_GB2312"/>
                <w:b/>
                <w:bCs/>
                <w:sz w:val="24"/>
                <w:szCs w:val="24"/>
              </w:rPr>
              <w:t>考核内容</w:t>
            </w:r>
          </w:p>
        </w:tc>
        <w:tc>
          <w:tcPr>
            <w:tcW w:w="474" w:type="pct"/>
            <w:vAlign w:val="center"/>
          </w:tcPr>
          <w:p w14:paraId="7F651D9A">
            <w:pPr>
              <w:pStyle w:val="6"/>
              <w:wordWrap w:val="0"/>
              <w:spacing w:line="580" w:lineRule="exact"/>
              <w:jc w:val="center"/>
              <w:textAlignment w:val="center"/>
              <w:rPr>
                <w:rFonts w:hint="eastAsia" w:ascii="仿宋_GB2312" w:hAnsi="仿宋_GB2312" w:cs="仿宋_GB2312"/>
                <w:b/>
                <w:bCs/>
                <w:sz w:val="24"/>
                <w:szCs w:val="24"/>
              </w:rPr>
            </w:pPr>
            <w:r>
              <w:rPr>
                <w:rFonts w:hint="eastAsia" w:ascii="仿宋_GB2312" w:hAnsi="仿宋_GB2312" w:cs="仿宋_GB2312"/>
                <w:b/>
                <w:bCs/>
                <w:sz w:val="24"/>
                <w:szCs w:val="24"/>
              </w:rPr>
              <w:t>配分</w:t>
            </w:r>
          </w:p>
        </w:tc>
        <w:tc>
          <w:tcPr>
            <w:tcW w:w="480" w:type="pct"/>
            <w:vAlign w:val="center"/>
          </w:tcPr>
          <w:p w14:paraId="652D974D">
            <w:pPr>
              <w:pStyle w:val="6"/>
              <w:wordWrap w:val="0"/>
              <w:spacing w:line="580" w:lineRule="exact"/>
              <w:jc w:val="center"/>
              <w:textAlignment w:val="center"/>
              <w:rPr>
                <w:rFonts w:hint="eastAsia" w:ascii="仿宋_GB2312" w:hAnsi="仿宋_GB2312" w:cs="仿宋_GB2312"/>
                <w:b/>
                <w:bCs/>
                <w:sz w:val="24"/>
                <w:szCs w:val="24"/>
              </w:rPr>
            </w:pPr>
            <w:r>
              <w:rPr>
                <w:rFonts w:hint="eastAsia" w:ascii="仿宋_GB2312" w:hAnsi="仿宋_GB2312" w:cs="仿宋_GB2312"/>
                <w:b/>
                <w:bCs/>
                <w:sz w:val="24"/>
                <w:szCs w:val="24"/>
              </w:rPr>
              <w:t>权重</w:t>
            </w:r>
          </w:p>
        </w:tc>
        <w:tc>
          <w:tcPr>
            <w:tcW w:w="1133" w:type="pct"/>
            <w:vAlign w:val="center"/>
          </w:tcPr>
          <w:p w14:paraId="211256A4">
            <w:pPr>
              <w:pStyle w:val="6"/>
              <w:wordWrap w:val="0"/>
              <w:spacing w:line="580" w:lineRule="exact"/>
              <w:jc w:val="center"/>
              <w:textAlignment w:val="center"/>
              <w:rPr>
                <w:rFonts w:hint="eastAsia" w:ascii="仿宋_GB2312" w:hAnsi="仿宋_GB2312" w:cs="仿宋_GB2312"/>
                <w:b/>
                <w:bCs/>
                <w:sz w:val="24"/>
                <w:szCs w:val="24"/>
              </w:rPr>
            </w:pPr>
            <w:r>
              <w:rPr>
                <w:rFonts w:hint="eastAsia" w:ascii="仿宋_GB2312" w:hAnsi="仿宋_GB2312" w:cs="仿宋_GB2312"/>
                <w:b/>
                <w:bCs/>
                <w:sz w:val="24"/>
                <w:szCs w:val="24"/>
              </w:rPr>
              <w:t>综合排名配比</w:t>
            </w:r>
          </w:p>
        </w:tc>
      </w:tr>
      <w:tr w14:paraId="274A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4" w:type="pct"/>
            <w:vAlign w:val="center"/>
          </w:tcPr>
          <w:p w14:paraId="2E2EF76B">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初赛</w:t>
            </w:r>
          </w:p>
        </w:tc>
        <w:tc>
          <w:tcPr>
            <w:tcW w:w="2368" w:type="pct"/>
            <w:vAlign w:val="center"/>
          </w:tcPr>
          <w:p w14:paraId="5AD69624">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理论</w:t>
            </w:r>
          </w:p>
        </w:tc>
        <w:tc>
          <w:tcPr>
            <w:tcW w:w="474" w:type="pct"/>
            <w:vAlign w:val="center"/>
          </w:tcPr>
          <w:p w14:paraId="754ACDD9">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100</w:t>
            </w:r>
          </w:p>
        </w:tc>
        <w:tc>
          <w:tcPr>
            <w:tcW w:w="480" w:type="pct"/>
            <w:vAlign w:val="center"/>
          </w:tcPr>
          <w:p w14:paraId="51C7F7D1">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100%</w:t>
            </w:r>
          </w:p>
        </w:tc>
        <w:tc>
          <w:tcPr>
            <w:tcW w:w="1133" w:type="pct"/>
            <w:vAlign w:val="center"/>
          </w:tcPr>
          <w:p w14:paraId="7F7ADBAC">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30%</w:t>
            </w:r>
          </w:p>
        </w:tc>
      </w:tr>
      <w:tr w14:paraId="2DF8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4" w:type="pct"/>
            <w:vMerge w:val="restart"/>
            <w:vAlign w:val="center"/>
          </w:tcPr>
          <w:p w14:paraId="69393918">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决赛</w:t>
            </w:r>
          </w:p>
        </w:tc>
        <w:tc>
          <w:tcPr>
            <w:tcW w:w="2368" w:type="pct"/>
            <w:vAlign w:val="center"/>
          </w:tcPr>
          <w:p w14:paraId="2127B30C">
            <w:pPr>
              <w:spacing w:line="560" w:lineRule="exact"/>
              <w:jc w:val="center"/>
              <w:rPr>
                <w:rFonts w:hint="eastAsia" w:ascii="仿宋_GB2312" w:hAnsi="仿宋_GB2312" w:cs="仿宋_GB2312"/>
                <w:sz w:val="24"/>
                <w:szCs w:val="24"/>
              </w:rPr>
            </w:pPr>
            <w:r>
              <w:rPr>
                <w:rFonts w:hint="eastAsia" w:ascii="仿宋_GB2312" w:hAnsi="仿宋_GB2312" w:cs="仿宋_GB2312"/>
                <w:sz w:val="24"/>
                <w:szCs w:val="24"/>
              </w:rPr>
              <w:t>模块A：硬件系统组装</w:t>
            </w:r>
          </w:p>
        </w:tc>
        <w:tc>
          <w:tcPr>
            <w:tcW w:w="474" w:type="pct"/>
            <w:vAlign w:val="center"/>
          </w:tcPr>
          <w:p w14:paraId="4893E1E2">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2</w:t>
            </w:r>
            <w:r>
              <w:rPr>
                <w:rFonts w:hint="eastAsia" w:ascii="仿宋_GB2312" w:hAnsi="仿宋_GB2312" w:cs="仿宋_GB2312"/>
                <w:sz w:val="24"/>
                <w:szCs w:val="24"/>
              </w:rPr>
              <w:t>0</w:t>
            </w:r>
          </w:p>
        </w:tc>
        <w:tc>
          <w:tcPr>
            <w:tcW w:w="480" w:type="pct"/>
            <w:vMerge w:val="restart"/>
            <w:vAlign w:val="center"/>
          </w:tcPr>
          <w:p w14:paraId="6C4D7AB5">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100%</w:t>
            </w:r>
          </w:p>
        </w:tc>
        <w:tc>
          <w:tcPr>
            <w:tcW w:w="1133" w:type="pct"/>
            <w:vMerge w:val="restart"/>
            <w:vAlign w:val="center"/>
          </w:tcPr>
          <w:p w14:paraId="73696943">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70%</w:t>
            </w:r>
          </w:p>
        </w:tc>
      </w:tr>
      <w:tr w14:paraId="53A1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4" w:type="pct"/>
            <w:vMerge w:val="continue"/>
            <w:vAlign w:val="center"/>
          </w:tcPr>
          <w:p w14:paraId="23A6CBDE">
            <w:pPr>
              <w:pStyle w:val="6"/>
              <w:wordWrap w:val="0"/>
              <w:spacing w:line="580" w:lineRule="exact"/>
              <w:jc w:val="center"/>
              <w:textAlignment w:val="center"/>
              <w:rPr>
                <w:rFonts w:hint="eastAsia" w:ascii="仿宋_GB2312" w:hAnsi="仿宋_GB2312" w:cs="仿宋_GB2312"/>
                <w:sz w:val="24"/>
                <w:szCs w:val="24"/>
              </w:rPr>
            </w:pPr>
          </w:p>
        </w:tc>
        <w:tc>
          <w:tcPr>
            <w:tcW w:w="2368" w:type="pct"/>
            <w:vAlign w:val="center"/>
          </w:tcPr>
          <w:p w14:paraId="0BF3769D">
            <w:pPr>
              <w:spacing w:line="560" w:lineRule="exact"/>
              <w:jc w:val="center"/>
              <w:rPr>
                <w:rFonts w:hint="eastAsia" w:ascii="仿宋_GB2312" w:hAnsi="仿宋_GB2312" w:cs="仿宋_GB2312"/>
                <w:sz w:val="24"/>
                <w:szCs w:val="24"/>
              </w:rPr>
            </w:pPr>
            <w:r>
              <w:rPr>
                <w:rFonts w:hint="eastAsia" w:ascii="仿宋_GB2312" w:hAnsi="仿宋_GB2312" w:cs="仿宋_GB2312"/>
                <w:sz w:val="24"/>
                <w:szCs w:val="24"/>
              </w:rPr>
              <w:t>模块B：软件工程创建及系统调试</w:t>
            </w:r>
          </w:p>
        </w:tc>
        <w:tc>
          <w:tcPr>
            <w:tcW w:w="474" w:type="pct"/>
            <w:vAlign w:val="center"/>
          </w:tcPr>
          <w:p w14:paraId="68150E01">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40</w:t>
            </w:r>
          </w:p>
        </w:tc>
        <w:tc>
          <w:tcPr>
            <w:tcW w:w="480" w:type="pct"/>
            <w:vMerge w:val="continue"/>
            <w:vAlign w:val="center"/>
          </w:tcPr>
          <w:p w14:paraId="0AC73740">
            <w:pPr>
              <w:pStyle w:val="6"/>
              <w:wordWrap w:val="0"/>
              <w:spacing w:line="580" w:lineRule="exact"/>
              <w:jc w:val="center"/>
              <w:textAlignment w:val="center"/>
              <w:rPr>
                <w:rFonts w:hint="eastAsia" w:ascii="仿宋_GB2312" w:hAnsi="仿宋_GB2312" w:cs="仿宋_GB2312"/>
                <w:sz w:val="24"/>
                <w:szCs w:val="24"/>
              </w:rPr>
            </w:pPr>
          </w:p>
        </w:tc>
        <w:tc>
          <w:tcPr>
            <w:tcW w:w="1133" w:type="pct"/>
            <w:vMerge w:val="continue"/>
            <w:vAlign w:val="center"/>
          </w:tcPr>
          <w:p w14:paraId="179F4188">
            <w:pPr>
              <w:pStyle w:val="6"/>
              <w:wordWrap w:val="0"/>
              <w:spacing w:line="580" w:lineRule="exact"/>
              <w:jc w:val="center"/>
              <w:textAlignment w:val="center"/>
              <w:rPr>
                <w:rFonts w:hint="eastAsia" w:ascii="仿宋_GB2312" w:hAnsi="仿宋_GB2312" w:cs="仿宋_GB2312"/>
                <w:sz w:val="24"/>
                <w:szCs w:val="24"/>
              </w:rPr>
            </w:pPr>
          </w:p>
        </w:tc>
      </w:tr>
      <w:tr w14:paraId="4B4F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4" w:type="pct"/>
            <w:vMerge w:val="continue"/>
            <w:vAlign w:val="center"/>
          </w:tcPr>
          <w:p w14:paraId="00BB740A">
            <w:pPr>
              <w:pStyle w:val="6"/>
              <w:wordWrap w:val="0"/>
              <w:spacing w:line="580" w:lineRule="exact"/>
              <w:jc w:val="center"/>
              <w:textAlignment w:val="center"/>
              <w:rPr>
                <w:rFonts w:hint="eastAsia" w:ascii="仿宋_GB2312" w:hAnsi="仿宋_GB2312" w:cs="仿宋_GB2312"/>
                <w:sz w:val="24"/>
                <w:szCs w:val="24"/>
              </w:rPr>
            </w:pPr>
          </w:p>
        </w:tc>
        <w:tc>
          <w:tcPr>
            <w:tcW w:w="2368" w:type="pct"/>
            <w:vAlign w:val="center"/>
          </w:tcPr>
          <w:p w14:paraId="0C742D67">
            <w:pPr>
              <w:spacing w:line="560" w:lineRule="exact"/>
              <w:jc w:val="center"/>
              <w:rPr>
                <w:rFonts w:hint="eastAsia" w:ascii="仿宋_GB2312" w:hAnsi="仿宋_GB2312" w:cs="仿宋_GB2312"/>
                <w:sz w:val="24"/>
                <w:szCs w:val="24"/>
              </w:rPr>
            </w:pPr>
            <w:r>
              <w:rPr>
                <w:rFonts w:hint="eastAsia" w:ascii="仿宋_GB2312" w:hAnsi="仿宋_GB2312" w:cs="仿宋_GB2312"/>
                <w:sz w:val="24"/>
                <w:szCs w:val="24"/>
              </w:rPr>
              <w:t>模块C：系统功能实现</w:t>
            </w:r>
          </w:p>
        </w:tc>
        <w:tc>
          <w:tcPr>
            <w:tcW w:w="474" w:type="pct"/>
            <w:vAlign w:val="center"/>
          </w:tcPr>
          <w:p w14:paraId="0F7AF4E4">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4</w:t>
            </w:r>
            <w:r>
              <w:rPr>
                <w:rFonts w:hint="eastAsia" w:ascii="仿宋_GB2312" w:hAnsi="仿宋_GB2312" w:cs="仿宋_GB2312"/>
                <w:sz w:val="24"/>
                <w:szCs w:val="24"/>
              </w:rPr>
              <w:t>0</w:t>
            </w:r>
          </w:p>
        </w:tc>
        <w:tc>
          <w:tcPr>
            <w:tcW w:w="480" w:type="pct"/>
            <w:vMerge w:val="continue"/>
            <w:vAlign w:val="center"/>
          </w:tcPr>
          <w:p w14:paraId="7B1182F0">
            <w:pPr>
              <w:pStyle w:val="6"/>
              <w:wordWrap w:val="0"/>
              <w:spacing w:line="580" w:lineRule="exact"/>
              <w:jc w:val="center"/>
              <w:textAlignment w:val="center"/>
              <w:rPr>
                <w:rFonts w:hint="eastAsia" w:ascii="仿宋_GB2312" w:hAnsi="仿宋_GB2312" w:cs="仿宋_GB2312"/>
                <w:sz w:val="24"/>
                <w:szCs w:val="24"/>
              </w:rPr>
            </w:pPr>
          </w:p>
        </w:tc>
        <w:tc>
          <w:tcPr>
            <w:tcW w:w="1133" w:type="pct"/>
            <w:vMerge w:val="continue"/>
            <w:vAlign w:val="center"/>
          </w:tcPr>
          <w:p w14:paraId="69D92AE8">
            <w:pPr>
              <w:pStyle w:val="6"/>
              <w:wordWrap w:val="0"/>
              <w:spacing w:line="580" w:lineRule="exact"/>
              <w:jc w:val="center"/>
              <w:textAlignment w:val="center"/>
              <w:rPr>
                <w:rFonts w:hint="eastAsia" w:ascii="仿宋_GB2312" w:hAnsi="仿宋_GB2312" w:cs="仿宋_GB2312"/>
                <w:sz w:val="24"/>
                <w:szCs w:val="24"/>
              </w:rPr>
            </w:pPr>
          </w:p>
        </w:tc>
      </w:tr>
      <w:tr w14:paraId="339E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66" w:type="pct"/>
            <w:gridSpan w:val="4"/>
            <w:vAlign w:val="center"/>
          </w:tcPr>
          <w:p w14:paraId="55A8B0A7">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总计</w:t>
            </w:r>
          </w:p>
        </w:tc>
        <w:tc>
          <w:tcPr>
            <w:tcW w:w="1133" w:type="pct"/>
            <w:vAlign w:val="center"/>
          </w:tcPr>
          <w:p w14:paraId="438DD7DA">
            <w:pPr>
              <w:pStyle w:val="6"/>
              <w:wordWrap w:val="0"/>
              <w:spacing w:line="580" w:lineRule="exact"/>
              <w:jc w:val="center"/>
              <w:textAlignment w:val="center"/>
              <w:rPr>
                <w:rFonts w:hint="eastAsia" w:ascii="仿宋_GB2312" w:hAnsi="仿宋_GB2312" w:cs="仿宋_GB2312"/>
                <w:sz w:val="24"/>
                <w:szCs w:val="24"/>
              </w:rPr>
            </w:pPr>
            <w:r>
              <w:rPr>
                <w:rFonts w:hint="eastAsia" w:ascii="仿宋_GB2312" w:hAnsi="仿宋_GB2312" w:cs="仿宋_GB2312"/>
                <w:sz w:val="24"/>
                <w:szCs w:val="24"/>
              </w:rPr>
              <w:t>100%</w:t>
            </w:r>
          </w:p>
        </w:tc>
      </w:tr>
    </w:tbl>
    <w:p w14:paraId="5C9751C6">
      <w:pPr>
        <w:keepNext w:val="0"/>
        <w:keepLines w:val="0"/>
        <w:pageBreakBefore w:val="0"/>
        <w:widowControl/>
        <w:kinsoku/>
        <w:wordWrap w:val="0"/>
        <w:overflowPunct/>
        <w:topLinePunct w:val="0"/>
        <w:autoSpaceDE/>
        <w:autoSpaceDN/>
        <w:bidi w:val="0"/>
        <w:adjustRightInd/>
        <w:snapToGrid/>
        <w:spacing w:line="580" w:lineRule="exact"/>
        <w:ind w:firstLine="643" w:firstLineChars="200"/>
        <w:textAlignment w:val="auto"/>
        <w:rPr>
          <w:rFonts w:hint="eastAsia" w:ascii="仿宋_GB2312" w:hAnsi="仿宋_GB2312" w:cs="仿宋_GB2312"/>
          <w:b/>
          <w:bCs/>
        </w:rPr>
      </w:pPr>
    </w:p>
    <w:p w14:paraId="650FC63A">
      <w:pPr>
        <w:keepNext w:val="0"/>
        <w:keepLines w:val="0"/>
        <w:pageBreakBefore w:val="0"/>
        <w:widowControl/>
        <w:kinsoku/>
        <w:wordWrap w:val="0"/>
        <w:overflowPunct/>
        <w:topLinePunct w:val="0"/>
        <w:autoSpaceDE/>
        <w:autoSpaceDN/>
        <w:bidi w:val="0"/>
        <w:adjustRightInd/>
        <w:snapToGrid/>
        <w:spacing w:line="580" w:lineRule="exact"/>
        <w:ind w:firstLine="643" w:firstLineChars="200"/>
        <w:textAlignment w:val="auto"/>
        <w:rPr>
          <w:rFonts w:hint="eastAsia" w:ascii="仿宋_GB2312" w:hAnsi="仿宋_GB2312" w:cs="仿宋_GB2312"/>
          <w:b/>
          <w:bCs/>
        </w:rPr>
      </w:pPr>
      <w:r>
        <w:rPr>
          <w:rFonts w:hint="eastAsia" w:ascii="仿宋_GB2312" w:hAnsi="仿宋_GB2312" w:cs="仿宋_GB2312"/>
          <w:b/>
          <w:bCs/>
        </w:rPr>
        <w:t>2.评判标准</w:t>
      </w:r>
    </w:p>
    <w:p w14:paraId="29349203">
      <w:pPr>
        <w:keepNext w:val="0"/>
        <w:keepLines w:val="0"/>
        <w:pageBreakBefore w:val="0"/>
        <w:widowControl/>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rPr>
      </w:pPr>
      <w:r>
        <w:rPr>
          <w:rFonts w:hint="eastAsia" w:ascii="仿宋_GB2312" w:hAnsi="仿宋_GB2312" w:cs="仿宋_GB2312"/>
        </w:rPr>
        <w:t>（1）初赛由计算机竞赛系统按单选题每题1分，多选题每题2分，判断题每题0.5分自动判分，各题型错选、多选或少选均不得分。</w:t>
      </w:r>
    </w:p>
    <w:p w14:paraId="60D248FE">
      <w:pPr>
        <w:keepNext w:val="0"/>
        <w:keepLines w:val="0"/>
        <w:pageBreakBefore w:val="0"/>
        <w:widowControl/>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rPr>
      </w:pPr>
      <w:r>
        <w:rPr>
          <w:rFonts w:hint="eastAsia" w:ascii="仿宋_GB2312" w:hAnsi="仿宋_GB2312" w:cs="仿宋_GB2312"/>
        </w:rPr>
        <w:t>（2）决赛由裁判根据现场评分表评分，评分标准配分细则以现场评分表为准，评分标准如下：</w:t>
      </w:r>
    </w:p>
    <w:p w14:paraId="599ADBFE">
      <w:pPr>
        <w:keepNext w:val="0"/>
        <w:keepLines w:val="0"/>
        <w:pageBreakBefore w:val="0"/>
        <w:widowControl/>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rPr>
      </w:pPr>
    </w:p>
    <w:tbl>
      <w:tblPr>
        <w:tblStyle w:val="12"/>
        <w:tblW w:w="5802" w:type="pct"/>
        <w:tblInd w:w="-680" w:type="dxa"/>
        <w:tblLayout w:type="autofit"/>
        <w:tblCellMar>
          <w:top w:w="0" w:type="dxa"/>
          <w:left w:w="108" w:type="dxa"/>
          <w:bottom w:w="0" w:type="dxa"/>
          <w:right w:w="108" w:type="dxa"/>
        </w:tblCellMar>
      </w:tblPr>
      <w:tblGrid>
        <w:gridCol w:w="1491"/>
        <w:gridCol w:w="2803"/>
        <w:gridCol w:w="716"/>
        <w:gridCol w:w="4879"/>
      </w:tblGrid>
      <w:tr w14:paraId="4FAB04C8">
        <w:tblPrEx>
          <w:tblCellMar>
            <w:top w:w="0" w:type="dxa"/>
            <w:left w:w="108" w:type="dxa"/>
            <w:bottom w:w="0" w:type="dxa"/>
            <w:right w:w="108" w:type="dxa"/>
          </w:tblCellMar>
        </w:tblPrEx>
        <w:trPr>
          <w:trHeight w:val="454" w:hRule="atLeast"/>
        </w:trPr>
        <w:tc>
          <w:tcPr>
            <w:tcW w:w="754" w:type="pct"/>
            <w:tcBorders>
              <w:top w:val="single" w:color="000000" w:sz="4" w:space="0"/>
              <w:left w:val="single" w:color="000000" w:sz="4" w:space="0"/>
              <w:bottom w:val="single" w:color="auto" w:sz="4" w:space="0"/>
              <w:right w:val="single" w:color="000000" w:sz="4" w:space="0"/>
            </w:tcBorders>
            <w:vAlign w:val="center"/>
          </w:tcPr>
          <w:p w14:paraId="7E47122F">
            <w:pPr>
              <w:keepNext w:val="0"/>
              <w:keepLines/>
              <w:pageBreakBefore w:val="0"/>
              <w:widowControl/>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bidi="ar"/>
              </w:rPr>
              <w:t>考核内容</w:t>
            </w:r>
          </w:p>
        </w:tc>
        <w:tc>
          <w:tcPr>
            <w:tcW w:w="1416" w:type="pct"/>
            <w:tcBorders>
              <w:top w:val="single" w:color="000000" w:sz="4" w:space="0"/>
              <w:left w:val="single" w:color="000000" w:sz="4" w:space="0"/>
              <w:bottom w:val="single" w:color="auto" w:sz="4" w:space="0"/>
              <w:right w:val="single" w:color="000000" w:sz="4" w:space="0"/>
            </w:tcBorders>
            <w:vAlign w:val="center"/>
          </w:tcPr>
          <w:p w14:paraId="07919415">
            <w:pPr>
              <w:keepNext w:val="0"/>
              <w:keepLines/>
              <w:pageBreakBefore w:val="0"/>
              <w:widowControl/>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bidi="ar"/>
              </w:rPr>
              <w:t>考核要点</w:t>
            </w:r>
          </w:p>
        </w:tc>
        <w:tc>
          <w:tcPr>
            <w:tcW w:w="362" w:type="pct"/>
            <w:tcBorders>
              <w:top w:val="single" w:color="000000" w:sz="4" w:space="0"/>
              <w:left w:val="single" w:color="000000" w:sz="4" w:space="0"/>
              <w:bottom w:val="single" w:color="auto" w:sz="4" w:space="0"/>
              <w:right w:val="single" w:color="000000" w:sz="4" w:space="0"/>
            </w:tcBorders>
            <w:vAlign w:val="center"/>
          </w:tcPr>
          <w:p w14:paraId="76EA989B">
            <w:pPr>
              <w:keepNext w:val="0"/>
              <w:keepLines/>
              <w:pageBreakBefore w:val="0"/>
              <w:widowControl/>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bidi="ar"/>
              </w:rPr>
              <w:t>配分</w:t>
            </w:r>
          </w:p>
        </w:tc>
        <w:tc>
          <w:tcPr>
            <w:tcW w:w="2466" w:type="pct"/>
            <w:tcBorders>
              <w:top w:val="single" w:color="000000" w:sz="4" w:space="0"/>
              <w:left w:val="single" w:color="000000" w:sz="4" w:space="0"/>
              <w:bottom w:val="single" w:color="auto" w:sz="4" w:space="0"/>
              <w:right w:val="single" w:color="000000" w:sz="4" w:space="0"/>
            </w:tcBorders>
            <w:vAlign w:val="center"/>
          </w:tcPr>
          <w:p w14:paraId="20ED6E3E">
            <w:pPr>
              <w:keepNext w:val="0"/>
              <w:keepLines/>
              <w:pageBreakBefore w:val="0"/>
              <w:widowControl/>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bidi="ar"/>
              </w:rPr>
              <w:t>评分标准</w:t>
            </w:r>
          </w:p>
        </w:tc>
      </w:tr>
      <w:tr w14:paraId="589A578C">
        <w:tblPrEx>
          <w:tblCellMar>
            <w:top w:w="0" w:type="dxa"/>
            <w:left w:w="108" w:type="dxa"/>
            <w:bottom w:w="0" w:type="dxa"/>
            <w:right w:w="108" w:type="dxa"/>
          </w:tblCellMar>
        </w:tblPrEx>
        <w:trPr>
          <w:trHeight w:val="5421" w:hRule="atLeast"/>
        </w:trPr>
        <w:tc>
          <w:tcPr>
            <w:tcW w:w="754" w:type="pct"/>
            <w:tcBorders>
              <w:top w:val="single" w:color="auto" w:sz="4" w:space="0"/>
              <w:left w:val="single" w:color="auto" w:sz="4" w:space="0"/>
              <w:bottom w:val="single" w:color="auto" w:sz="4" w:space="0"/>
              <w:right w:val="single" w:color="auto" w:sz="4" w:space="0"/>
            </w:tcBorders>
            <w:vAlign w:val="center"/>
          </w:tcPr>
          <w:p w14:paraId="6EE358B3">
            <w:pPr>
              <w:keepNext w:val="0"/>
              <w:keepLines/>
              <w:pageBreakBefore w:val="0"/>
              <w:kinsoku/>
              <w:overflowPunct/>
              <w:topLinePunct w:val="0"/>
              <w:autoSpaceDE/>
              <w:autoSpaceDN/>
              <w:bidi w:val="0"/>
              <w:adjustRightInd/>
              <w:snapToGrid/>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模块A：硬件系统组装</w:t>
            </w:r>
          </w:p>
        </w:tc>
        <w:tc>
          <w:tcPr>
            <w:tcW w:w="1416" w:type="pct"/>
            <w:tcBorders>
              <w:top w:val="single" w:color="auto" w:sz="4" w:space="0"/>
              <w:left w:val="single" w:color="auto" w:sz="4" w:space="0"/>
              <w:bottom w:val="single" w:color="auto" w:sz="4" w:space="0"/>
              <w:right w:val="single" w:color="auto" w:sz="4" w:space="0"/>
            </w:tcBorders>
            <w:vAlign w:val="center"/>
          </w:tcPr>
          <w:p w14:paraId="22CEC862">
            <w:pPr>
              <w:keepNext w:val="0"/>
              <w:keepLines/>
              <w:pageBreakBefore w:val="0"/>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1. 核心器件连接：依据官方提供的引脚分配表，将按键、流水灯、温湿度传感器（DHT11）、四位数码管显示模块等核心器件正确、稳固连接到 GD32E235 核心板，确保走线整齐、无虚接短路；</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2. 通电测试验证：完成连接后进行基本通电测试，确认核心板及所有模块均能正常初始化，无设备损坏</w:t>
            </w:r>
          </w:p>
        </w:tc>
        <w:tc>
          <w:tcPr>
            <w:tcW w:w="362" w:type="pct"/>
            <w:tcBorders>
              <w:top w:val="single" w:color="auto" w:sz="4" w:space="0"/>
              <w:left w:val="single" w:color="auto" w:sz="4" w:space="0"/>
              <w:bottom w:val="single" w:color="auto" w:sz="4" w:space="0"/>
              <w:right w:val="single" w:color="auto" w:sz="4" w:space="0"/>
            </w:tcBorders>
            <w:vAlign w:val="center"/>
          </w:tcPr>
          <w:p w14:paraId="71EA2D18">
            <w:pPr>
              <w:keepNext w:val="0"/>
              <w:keepLines/>
              <w:pageBreakBefore w:val="0"/>
              <w:kinsoku/>
              <w:overflowPunct/>
              <w:topLinePunct w:val="0"/>
              <w:autoSpaceDE/>
              <w:autoSpaceDN/>
              <w:bidi w:val="0"/>
              <w:adjustRightInd/>
              <w:snapToGrid/>
              <w:spacing w:line="0" w:lineRule="atLeast"/>
              <w:jc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20</w:t>
            </w:r>
          </w:p>
        </w:tc>
        <w:tc>
          <w:tcPr>
            <w:tcW w:w="2466" w:type="pct"/>
            <w:tcBorders>
              <w:top w:val="single" w:color="auto" w:sz="4" w:space="0"/>
              <w:left w:val="single" w:color="auto" w:sz="4" w:space="0"/>
              <w:bottom w:val="single" w:color="auto" w:sz="4" w:space="0"/>
              <w:right w:val="single" w:color="auto" w:sz="4" w:space="0"/>
            </w:tcBorders>
            <w:vAlign w:val="center"/>
          </w:tcPr>
          <w:p w14:paraId="3FD0D539">
            <w:pPr>
              <w:keepNext w:val="0"/>
              <w:keepLines/>
              <w:pageBreakBefore w:val="0"/>
              <w:numPr>
                <w:ilvl w:val="0"/>
                <w:numId w:val="5"/>
              </w:numPr>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器件连接：</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按键、流水灯模组、DHT11、四位数码管显示模块各按引脚分配表正确连接，每个器件连接正确得分，引脚接错、杜邦线未插紧（虚接）则该器件不得分；</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连接线走线横平竖直、无交叉缠绕，</w:t>
            </w:r>
          </w:p>
          <w:p w14:paraId="4990CDF0">
            <w:pPr>
              <w:keepNext w:val="0"/>
              <w:keepLines/>
              <w:pageBreakBefore w:val="0"/>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p>
          <w:p w14:paraId="53394F0C">
            <w:pPr>
              <w:keepNext w:val="0"/>
              <w:keepLines/>
              <w:pageBreakBefore w:val="0"/>
              <w:numPr>
                <w:ilvl w:val="0"/>
                <w:numId w:val="5"/>
              </w:numPr>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通电测试：</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核心板通电后电源指示灯常亮、无闪烁，得分，指示灯不亮或闪烁不得分；</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流水灯模组通过临时测试程序可点亮任意 1 个 LED，得分，完全不亮不得分；</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DHT11传感器通电后表面无发烫、引脚无异常，得分，发烫或引脚损坏不得分；</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四位数码管显示模块通过基础驱动可点亮 “0-9” 中任意 1 个数字，得分，完全不亮不得分。</w:t>
            </w:r>
          </w:p>
        </w:tc>
      </w:tr>
      <w:tr w14:paraId="0760D4B0">
        <w:tblPrEx>
          <w:tblCellMar>
            <w:top w:w="0" w:type="dxa"/>
            <w:left w:w="108" w:type="dxa"/>
            <w:bottom w:w="0" w:type="dxa"/>
            <w:right w:w="108" w:type="dxa"/>
          </w:tblCellMar>
        </w:tblPrEx>
        <w:trPr>
          <w:trHeight w:val="6205" w:hRule="atLeast"/>
        </w:trPr>
        <w:tc>
          <w:tcPr>
            <w:tcW w:w="754" w:type="pct"/>
            <w:tcBorders>
              <w:top w:val="single" w:color="auto" w:sz="4" w:space="0"/>
              <w:left w:val="single" w:color="auto" w:sz="4" w:space="0"/>
              <w:bottom w:val="single" w:color="auto" w:sz="4" w:space="0"/>
              <w:right w:val="single" w:color="auto" w:sz="4" w:space="0"/>
            </w:tcBorders>
            <w:vAlign w:val="center"/>
          </w:tcPr>
          <w:p w14:paraId="341D8E0C">
            <w:pPr>
              <w:keepNext w:val="0"/>
              <w:keepLines/>
              <w:pageBreakBefore w:val="0"/>
              <w:kinsoku/>
              <w:overflowPunct/>
              <w:topLinePunct w:val="0"/>
              <w:autoSpaceDE/>
              <w:autoSpaceDN/>
              <w:bidi w:val="0"/>
              <w:adjustRightInd/>
              <w:snapToGrid/>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模块B：软件工程创建及系统调试</w:t>
            </w:r>
          </w:p>
        </w:tc>
        <w:tc>
          <w:tcPr>
            <w:tcW w:w="1416" w:type="pct"/>
            <w:tcBorders>
              <w:top w:val="single" w:color="auto" w:sz="4" w:space="0"/>
              <w:left w:val="single" w:color="auto" w:sz="4" w:space="0"/>
              <w:bottom w:val="single" w:color="auto" w:sz="4" w:space="0"/>
              <w:right w:val="single" w:color="auto" w:sz="4" w:space="0"/>
            </w:tcBorders>
            <w:vAlign w:val="center"/>
          </w:tcPr>
          <w:p w14:paraId="6CDF2352">
            <w:pPr>
              <w:keepNext w:val="0"/>
              <w:keepLines/>
              <w:pageBreakBefore w:val="0"/>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1. DHT11驱动编写：编写驱动代码，遵循 DHT11 数据传输协议（正确处理起始信号、应答信号、40 位数据读取），实现温湿度数据稳定读取；</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2. 数据格式化处理：将读取的温湿度原始数据转换为 “xx.x”（温度）、“Hxx.x”（湿度）格式，确保小数点位置准确、标识无误；</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3. 数码管交替显示：在 四位数码管显示模块上交替显示温湿度数据，切换间隔严格控制为 2 秒，显示清晰无残影</w:t>
            </w:r>
          </w:p>
        </w:tc>
        <w:tc>
          <w:tcPr>
            <w:tcW w:w="362" w:type="pct"/>
            <w:tcBorders>
              <w:top w:val="single" w:color="auto" w:sz="4" w:space="0"/>
              <w:left w:val="single" w:color="auto" w:sz="4" w:space="0"/>
              <w:bottom w:val="single" w:color="auto" w:sz="4" w:space="0"/>
              <w:right w:val="single" w:color="auto" w:sz="4" w:space="0"/>
            </w:tcBorders>
            <w:vAlign w:val="center"/>
          </w:tcPr>
          <w:p w14:paraId="475AED23">
            <w:pPr>
              <w:keepNext w:val="0"/>
              <w:keepLines/>
              <w:pageBreakBefore w:val="0"/>
              <w:kinsoku/>
              <w:overflowPunct/>
              <w:topLinePunct w:val="0"/>
              <w:autoSpaceDE/>
              <w:autoSpaceDN/>
              <w:bidi w:val="0"/>
              <w:adjustRightInd/>
              <w:snapToGrid/>
              <w:spacing w:line="0" w:lineRule="atLeast"/>
              <w:jc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40</w:t>
            </w:r>
          </w:p>
        </w:tc>
        <w:tc>
          <w:tcPr>
            <w:tcW w:w="2466" w:type="pct"/>
            <w:tcBorders>
              <w:top w:val="single" w:color="auto" w:sz="4" w:space="0"/>
              <w:left w:val="single" w:color="auto" w:sz="4" w:space="0"/>
              <w:bottom w:val="single" w:color="auto" w:sz="4" w:space="0"/>
              <w:right w:val="single" w:color="auto" w:sz="4" w:space="0"/>
            </w:tcBorders>
            <w:vAlign w:val="center"/>
          </w:tcPr>
          <w:p w14:paraId="0648245F">
            <w:pPr>
              <w:keepNext w:val="0"/>
              <w:keepLines/>
              <w:pageBreakBefore w:val="0"/>
              <w:numPr>
                <w:ilvl w:val="0"/>
                <w:numId w:val="6"/>
              </w:numPr>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DHT11 驱动编写：</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驱动代码无编译错误得分，存在编译错误不得分；</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连续读取 10 次温湿度数据，数据有效得分，数据为 0、乱码或偏差超范围不得分；</w:t>
            </w:r>
          </w:p>
          <w:p w14:paraId="18A7FD06">
            <w:pPr>
              <w:keepNext w:val="0"/>
              <w:keepLines/>
              <w:pageBreakBefore w:val="0"/>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2. 数据格式化：</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温度显示格式正确（如 24.5），得分，</w:t>
            </w:r>
          </w:p>
          <w:p w14:paraId="7FA27E9B">
            <w:pPr>
              <w:keepNext w:val="0"/>
              <w:keepLines/>
              <w:pageBreakBefore w:val="0"/>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 湿度显示格式正确（如 H56.8），包含 “H” 标识、1 位小数点，得分，格式错误扣分；</w:t>
            </w:r>
          </w:p>
          <w:p w14:paraId="17DFFFB1">
            <w:pPr>
              <w:keepNext w:val="0"/>
              <w:keepLines/>
              <w:pageBreakBefore w:val="0"/>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3. 数码管交替显示：</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四位数码管显示模块驱动正常，数码管显示无段码缺失、残影，得分，显示乱码、缺段不得分；</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用计时器测量切换间隔，误差在范围内得分；</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连续运行1分钟，交替显示无卡顿、数据不跳变，得分，出现卡顿或跳变扣分。</w:t>
            </w:r>
          </w:p>
        </w:tc>
      </w:tr>
      <w:tr w14:paraId="724C3725">
        <w:tblPrEx>
          <w:tblCellMar>
            <w:top w:w="0" w:type="dxa"/>
            <w:left w:w="108" w:type="dxa"/>
            <w:bottom w:w="0" w:type="dxa"/>
            <w:right w:w="108" w:type="dxa"/>
          </w:tblCellMar>
        </w:tblPrEx>
        <w:trPr>
          <w:trHeight w:val="6419" w:hRule="atLeast"/>
        </w:trPr>
        <w:tc>
          <w:tcPr>
            <w:tcW w:w="754" w:type="pct"/>
            <w:tcBorders>
              <w:top w:val="single" w:color="auto" w:sz="4" w:space="0"/>
              <w:left w:val="single" w:color="000000" w:sz="4" w:space="0"/>
              <w:right w:val="single" w:color="000000" w:sz="4" w:space="0"/>
            </w:tcBorders>
            <w:vAlign w:val="center"/>
          </w:tcPr>
          <w:p w14:paraId="6052A8C6">
            <w:pPr>
              <w:keepNext w:val="0"/>
              <w:keepLines/>
              <w:pageBreakBefore w:val="0"/>
              <w:kinsoku/>
              <w:overflowPunct/>
              <w:topLinePunct w:val="0"/>
              <w:autoSpaceDE/>
              <w:autoSpaceDN/>
              <w:bidi w:val="0"/>
              <w:adjustRightInd/>
              <w:snapToGrid/>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模块C：</w:t>
            </w:r>
          </w:p>
          <w:p w14:paraId="00B41E7B">
            <w:pPr>
              <w:keepNext w:val="0"/>
              <w:keepLines/>
              <w:pageBreakBefore w:val="0"/>
              <w:kinsoku/>
              <w:overflowPunct/>
              <w:topLinePunct w:val="0"/>
              <w:autoSpaceDE/>
              <w:autoSpaceDN/>
              <w:bidi w:val="0"/>
              <w:adjustRightInd/>
              <w:snapToGrid/>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系统功能实现</w:t>
            </w:r>
          </w:p>
        </w:tc>
        <w:tc>
          <w:tcPr>
            <w:tcW w:w="1416" w:type="pct"/>
            <w:tcBorders>
              <w:top w:val="single" w:color="auto" w:sz="4" w:space="0"/>
              <w:left w:val="single" w:color="000000" w:sz="4" w:space="0"/>
              <w:right w:val="single" w:color="000000" w:sz="4" w:space="0"/>
            </w:tcBorders>
            <w:vAlign w:val="center"/>
          </w:tcPr>
          <w:p w14:paraId="39A523EE">
            <w:pPr>
              <w:keepNext w:val="0"/>
              <w:keepLines/>
              <w:pageBreakBefore w:val="0"/>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1. 按键 GPIO 配置与消抖：配置按键对应 GPIO 引脚（如 PA0）为输入模式，编写消抖代码（可采用延时消抖或外部中断消抖），避免按键抖动导致误触发；</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2. 流水灯模式控制：通过按键短按（按下时间≤1 秒）实现三种模式切换，具体要求：</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首次按下：流水灯正向模式（从左到右依次点亮，每路 LED 点亮间隔≤400ms）；</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再次按下：流水灯反向模式（从右到左依次点亮，间隔要求同正向）；</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第三次按下：流水灯完全熄灭</w:t>
            </w:r>
          </w:p>
        </w:tc>
        <w:tc>
          <w:tcPr>
            <w:tcW w:w="362" w:type="pct"/>
            <w:tcBorders>
              <w:top w:val="single" w:color="auto" w:sz="4" w:space="0"/>
              <w:left w:val="single" w:color="000000" w:sz="4" w:space="0"/>
              <w:right w:val="single" w:color="000000" w:sz="4" w:space="0"/>
            </w:tcBorders>
            <w:vAlign w:val="center"/>
          </w:tcPr>
          <w:p w14:paraId="0F602D97">
            <w:pPr>
              <w:keepNext w:val="0"/>
              <w:keepLines/>
              <w:pageBreakBefore w:val="0"/>
              <w:kinsoku/>
              <w:overflowPunct/>
              <w:topLinePunct w:val="0"/>
              <w:autoSpaceDE/>
              <w:autoSpaceDN/>
              <w:bidi w:val="0"/>
              <w:adjustRightInd/>
              <w:snapToGrid/>
              <w:spacing w:line="0" w:lineRule="atLeast"/>
              <w:jc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40</w:t>
            </w:r>
          </w:p>
        </w:tc>
        <w:tc>
          <w:tcPr>
            <w:tcW w:w="2466" w:type="pct"/>
            <w:tcBorders>
              <w:top w:val="single" w:color="auto" w:sz="4" w:space="0"/>
              <w:left w:val="single" w:color="000000" w:sz="4" w:space="0"/>
              <w:bottom w:val="single" w:color="000000" w:sz="4" w:space="0"/>
              <w:right w:val="single" w:color="000000" w:sz="4" w:space="0"/>
            </w:tcBorders>
            <w:vAlign w:val="center"/>
          </w:tcPr>
          <w:p w14:paraId="77C1C24F">
            <w:pPr>
              <w:keepNext w:val="0"/>
              <w:keepLines/>
              <w:pageBreakBefore w:val="0"/>
              <w:numPr>
                <w:ilvl w:val="0"/>
                <w:numId w:val="7"/>
              </w:numPr>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按键配置与消抖：</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按键 GPIO 配置正确得分，配置错误导致按键无响应不得分；</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连续短按按键，无误触发得分。</w:t>
            </w:r>
          </w:p>
          <w:p w14:paraId="5F484357">
            <w:pPr>
              <w:keepNext w:val="0"/>
              <w:keepLines/>
              <w:pageBreakBefore w:val="0"/>
              <w:kinsoku/>
              <w:overflowPunct/>
              <w:topLinePunct w:val="0"/>
              <w:autoSpaceDE/>
              <w:autoSpaceDN/>
              <w:bidi w:val="0"/>
              <w:adjustRightInd/>
              <w:snapToGrid/>
              <w:spacing w:line="0" w:lineRule="atLeast"/>
              <w:jc w:val="left"/>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2. 流水灯模式切换：</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首次按下按键，流水灯正向依次点亮、无卡顿，得分，模式错误（反向）或无响应扣分；</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再次按下按键，成功切换为反向模式、逻辑正确，得分，切换失败（仍正向）或乱序点亮扣分；</w:t>
            </w:r>
            <w:r>
              <w:rPr>
                <w:rFonts w:hint="eastAsia" w:ascii="仿宋_GB2312" w:hAnsi="仿宋_GB2312" w:eastAsia="仿宋_GB2312" w:cs="仿宋_GB2312"/>
                <w:kern w:val="0"/>
                <w:sz w:val="24"/>
                <w:szCs w:val="24"/>
                <w:lang w:bidi="ar"/>
              </w:rPr>
              <w:br w:type="textWrapping"/>
            </w:r>
            <w:r>
              <w:rPr>
                <w:rFonts w:hint="eastAsia" w:ascii="仿宋_GB2312" w:hAnsi="仿宋_GB2312" w:eastAsia="仿宋_GB2312" w:cs="仿宋_GB2312"/>
                <w:kern w:val="0"/>
                <w:sz w:val="24"/>
                <w:szCs w:val="24"/>
                <w:lang w:bidi="ar"/>
              </w:rPr>
              <w:t>- 第三次按下按键，所有 LED 同时熄灭、无残留亮灯，得分，熄灭不彻底（部分 LED 亮）扣分；</w:t>
            </w:r>
          </w:p>
        </w:tc>
      </w:tr>
      <w:tr w14:paraId="0C3E9330">
        <w:tblPrEx>
          <w:tblCellMar>
            <w:top w:w="0" w:type="dxa"/>
            <w:left w:w="108" w:type="dxa"/>
            <w:bottom w:w="0" w:type="dxa"/>
            <w:right w:w="108" w:type="dxa"/>
          </w:tblCellMar>
        </w:tblPrEx>
        <w:trPr>
          <w:trHeight w:val="454" w:hRule="atLeast"/>
        </w:trPr>
        <w:tc>
          <w:tcPr>
            <w:tcW w:w="2171" w:type="pct"/>
            <w:gridSpan w:val="2"/>
            <w:tcBorders>
              <w:top w:val="single" w:color="000000" w:sz="4" w:space="0"/>
              <w:left w:val="single" w:color="000000" w:sz="4" w:space="0"/>
              <w:bottom w:val="single" w:color="000000" w:sz="4" w:space="0"/>
              <w:right w:val="single" w:color="000000" w:sz="4" w:space="0"/>
            </w:tcBorders>
            <w:vAlign w:val="center"/>
          </w:tcPr>
          <w:p w14:paraId="70EC7EC6">
            <w:pPr>
              <w:keepNext w:val="0"/>
              <w:keepLines/>
              <w:pageBreakBefore w:val="0"/>
              <w:widowControl/>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总分</w:t>
            </w:r>
          </w:p>
        </w:tc>
        <w:tc>
          <w:tcPr>
            <w:tcW w:w="362" w:type="pct"/>
            <w:tcBorders>
              <w:top w:val="single" w:color="000000" w:sz="4" w:space="0"/>
              <w:left w:val="single" w:color="000000" w:sz="4" w:space="0"/>
              <w:bottom w:val="single" w:color="000000" w:sz="4" w:space="0"/>
              <w:right w:val="single" w:color="000000" w:sz="4" w:space="0"/>
            </w:tcBorders>
            <w:vAlign w:val="center"/>
          </w:tcPr>
          <w:p w14:paraId="3BC86758">
            <w:pPr>
              <w:keepNext w:val="0"/>
              <w:keepLines/>
              <w:pageBreakBefore w:val="0"/>
              <w:widowControl/>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100</w:t>
            </w:r>
          </w:p>
        </w:tc>
        <w:tc>
          <w:tcPr>
            <w:tcW w:w="2466" w:type="pct"/>
            <w:tcBorders>
              <w:top w:val="single" w:color="000000" w:sz="4" w:space="0"/>
              <w:left w:val="single" w:color="000000" w:sz="4" w:space="0"/>
              <w:bottom w:val="single" w:color="000000" w:sz="4" w:space="0"/>
              <w:right w:val="single" w:color="000000" w:sz="4" w:space="0"/>
            </w:tcBorders>
            <w:vAlign w:val="center"/>
          </w:tcPr>
          <w:p w14:paraId="123166B9">
            <w:pPr>
              <w:keepNext w:val="0"/>
              <w:keepLines/>
              <w:pageBreakBefore w:val="0"/>
              <w:kinsoku/>
              <w:wordWrap w:val="0"/>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rPr>
            </w:pPr>
          </w:p>
        </w:tc>
      </w:tr>
      <w:tr w14:paraId="62F85585">
        <w:tblPrEx>
          <w:tblCellMar>
            <w:top w:w="0" w:type="dxa"/>
            <w:left w:w="108" w:type="dxa"/>
            <w:bottom w:w="0" w:type="dxa"/>
            <w:right w:w="108" w:type="dxa"/>
          </w:tblCellMar>
        </w:tblPrEx>
        <w:trPr>
          <w:trHeight w:val="454" w:hRule="atLeast"/>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57A152F5">
            <w:pPr>
              <w:keepNext w:val="0"/>
              <w:keepLines/>
              <w:pageBreakBefore w:val="0"/>
              <w:widowControl/>
              <w:kinsoku/>
              <w:wordWrap w:val="0"/>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时间要求：考核规定时间为120分钟，超时立即终止操作，未完成操作部分不计分。</w:t>
            </w:r>
          </w:p>
        </w:tc>
      </w:tr>
      <w:tr w14:paraId="0A0D6596">
        <w:tblPrEx>
          <w:tblCellMar>
            <w:top w:w="0" w:type="dxa"/>
            <w:left w:w="108" w:type="dxa"/>
            <w:bottom w:w="0" w:type="dxa"/>
            <w:right w:w="108" w:type="dxa"/>
          </w:tblCellMar>
        </w:tblPrEx>
        <w:trPr>
          <w:trHeight w:val="454" w:hRule="atLeast"/>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6BF5CB52">
            <w:pPr>
              <w:keepNext w:val="0"/>
              <w:keepLines/>
              <w:pageBreakBefore w:val="0"/>
              <w:widowControl/>
              <w:kinsoku/>
              <w:wordWrap w:val="0"/>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否定项说明：若选手发生下列情况之一，则应及时终止其竞赛。</w:t>
            </w:r>
          </w:p>
          <w:p w14:paraId="4F85FA3B">
            <w:pPr>
              <w:keepNext w:val="0"/>
              <w:keepLines/>
              <w:pageBreakBefore w:val="0"/>
              <w:widowControl/>
              <w:kinsoku/>
              <w:wordWrap w:val="0"/>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（1）在操作过程中，违反操作安全；</w:t>
            </w:r>
          </w:p>
          <w:p w14:paraId="61DD8392">
            <w:pPr>
              <w:keepNext w:val="0"/>
              <w:keepLines/>
              <w:pageBreakBefore w:val="0"/>
              <w:widowControl/>
              <w:kinsoku/>
              <w:wordWrap w:val="0"/>
              <w:overflowPunct/>
              <w:topLinePunct w:val="0"/>
              <w:autoSpaceDE/>
              <w:autoSpaceDN/>
              <w:bidi w:val="0"/>
              <w:adjustRightInd/>
              <w:snapToGrid/>
              <w:spacing w:line="0" w:lineRule="atLeas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（2）在操作过程中，有作弊、抄袭等情况。</w:t>
            </w:r>
          </w:p>
        </w:tc>
      </w:tr>
    </w:tbl>
    <w:p w14:paraId="3EFEF466">
      <w:pPr>
        <w:pStyle w:val="6"/>
        <w:keepNext w:val="0"/>
        <w:keepLines w:val="0"/>
        <w:pageBreakBefore w:val="0"/>
        <w:widowControl w:val="0"/>
        <w:kinsoku/>
        <w:wordWrap w:val="0"/>
        <w:overflowPunct/>
        <w:topLinePunct w:val="0"/>
        <w:autoSpaceDE/>
        <w:autoSpaceDN/>
        <w:bidi w:val="0"/>
        <w:adjustRightInd/>
        <w:snapToGrid/>
        <w:spacing w:line="580" w:lineRule="exact"/>
        <w:ind w:firstLine="643" w:firstLineChars="200"/>
        <w:textAlignment w:val="auto"/>
        <w:rPr>
          <w:rFonts w:hint="eastAsia" w:ascii="仿宋_GB2312" w:hAnsi="仿宋_GB2312" w:cs="仿宋_GB2312"/>
          <w:b/>
          <w:bCs/>
          <w:szCs w:val="32"/>
        </w:rPr>
      </w:pPr>
      <w:r>
        <w:rPr>
          <w:rFonts w:hint="eastAsia" w:ascii="仿宋_GB2312" w:hAnsi="仿宋_GB2312" w:cs="仿宋_GB2312"/>
          <w:b/>
          <w:bCs/>
          <w:szCs w:val="32"/>
        </w:rPr>
        <w:t>3.评判方法</w:t>
      </w:r>
    </w:p>
    <w:p w14:paraId="55F2BCC7">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szCs w:val="32"/>
        </w:rPr>
      </w:pPr>
      <w:r>
        <w:rPr>
          <w:rFonts w:hint="eastAsia" w:ascii="仿宋_GB2312" w:hAnsi="仿宋_GB2312" w:cs="仿宋_GB2312"/>
          <w:szCs w:val="32"/>
        </w:rPr>
        <w:t>（1）初赛由计算机系统自动判分。</w:t>
      </w:r>
    </w:p>
    <w:p w14:paraId="5C410252">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szCs w:val="32"/>
        </w:rPr>
      </w:pPr>
      <w:r>
        <w:rPr>
          <w:rFonts w:hint="eastAsia" w:ascii="仿宋_GB2312" w:hAnsi="仿宋_GB2312" w:cs="仿宋_GB2312"/>
          <w:szCs w:val="32"/>
        </w:rPr>
        <w:t>（2）决赛裁判组共6名，其中裁判长1名，裁判员5名。</w:t>
      </w:r>
    </w:p>
    <w:p w14:paraId="4502F06F">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szCs w:val="32"/>
        </w:rPr>
      </w:pPr>
      <w:r>
        <w:rPr>
          <w:rFonts w:hint="eastAsia" w:ascii="仿宋_GB2312" w:hAnsi="仿宋_GB2312" w:cs="仿宋_GB2312"/>
          <w:szCs w:val="32"/>
        </w:rPr>
        <w:t>（3）决赛前由裁判长组织所有裁判员进行培训，统一评分标准。裁判员需负责对所有工位选手操作过程进行现场执裁，含记录违规操作、作弊、抄袭、选手比赛中断或延时处理、增补耗材登记、赛场突发情况处理等执裁内容。</w:t>
      </w:r>
    </w:p>
    <w:p w14:paraId="1CCEBAB4">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szCs w:val="32"/>
        </w:rPr>
      </w:pPr>
      <w:r>
        <w:rPr>
          <w:rFonts w:hint="eastAsia" w:ascii="仿宋_GB2312" w:hAnsi="仿宋_GB2312" w:cs="仿宋_GB2312"/>
          <w:szCs w:val="32"/>
        </w:rPr>
        <w:t>（4）每位选手操作完成后裁判员需完成该对该选手的评分，才能进入下一轮的执裁工作，直至比赛结束。</w:t>
      </w:r>
    </w:p>
    <w:p w14:paraId="41DD3FD7">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szCs w:val="32"/>
        </w:rPr>
      </w:pPr>
      <w:r>
        <w:rPr>
          <w:rFonts w:hint="eastAsia" w:ascii="仿宋_GB2312" w:hAnsi="仿宋_GB2312" w:cs="仿宋_GB2312"/>
          <w:szCs w:val="32"/>
        </w:rPr>
        <w:t>（5）裁判长对所有裁判员的打分过程的公平、公正性进行监督。裁判员评定期间若有争议，由裁判长裁决。</w:t>
      </w:r>
    </w:p>
    <w:p w14:paraId="5FE6FAA3">
      <w:pPr>
        <w:pStyle w:val="6"/>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szCs w:val="32"/>
        </w:rPr>
      </w:pPr>
      <w:r>
        <w:rPr>
          <w:rFonts w:hint="eastAsia" w:ascii="仿宋_GB2312" w:hAnsi="仿宋_GB2312" w:cs="仿宋_GB2312"/>
          <w:szCs w:val="32"/>
        </w:rPr>
        <w:t>（6）比赛结束后，所有裁判员需在选手成绩汇总表上进行确认签字，方视为完成执裁工作。</w:t>
      </w:r>
    </w:p>
    <w:p w14:paraId="3B2A2FC2">
      <w:pPr>
        <w:pStyle w:val="2"/>
        <w:keepNext w:val="0"/>
        <w:keepLines w:val="0"/>
        <w:pageBreakBefore w:val="0"/>
        <w:widowControl w:val="0"/>
        <w:kinsoku/>
        <w:overflowPunct/>
        <w:topLinePunct w:val="0"/>
        <w:autoSpaceDE/>
        <w:autoSpaceDN/>
        <w:bidi w:val="0"/>
        <w:adjustRightInd/>
        <w:snapToGrid/>
        <w:spacing w:line="580" w:lineRule="exact"/>
        <w:ind w:left="0" w:leftChars="0" w:firstLine="643" w:firstLineChars="200"/>
        <w:textAlignment w:val="auto"/>
      </w:pPr>
      <w:r>
        <w:rPr>
          <w:rFonts w:hint="eastAsia" w:ascii="仿宋_GB2312" w:hAnsi="仿宋_GB2312" w:cs="仿宋_GB2312"/>
          <w:b/>
          <w:bCs/>
          <w:szCs w:val="32"/>
        </w:rPr>
        <w:t>4.综合排名。</w:t>
      </w:r>
      <w:r>
        <w:rPr>
          <w:rFonts w:hint="eastAsia" w:ascii="仿宋_GB2312" w:hAnsi="仿宋_GB2312" w:cs="仿宋_GB2312"/>
          <w:szCs w:val="32"/>
        </w:rPr>
        <w:t>选手最终名次依据初赛和决赛两部分成绩按比例累加的综合成绩进行排名，成绩均四舍五入保留两位小数点。其中初赛成绩占30%、决赛成绩占70%，即选手综合成绩=初赛成绩×30%+决赛成绩×70%。当综合成绩相同时，以决赛成绩高者名次在前，若仍相同时，则以决赛</w:t>
      </w:r>
      <w:r>
        <w:rPr>
          <w:rFonts w:hint="eastAsia" w:ascii="仿宋_GB2312" w:hAnsi="仿宋_GB2312" w:cs="仿宋_GB2312"/>
          <w:szCs w:val="32"/>
          <w:lang w:val="en-US" w:eastAsia="zh-CN"/>
        </w:rPr>
        <w:t>模块C</w:t>
      </w:r>
      <w:r>
        <w:rPr>
          <w:rFonts w:hint="eastAsia" w:ascii="仿宋_GB2312" w:hAnsi="仿宋_GB2312" w:cs="仿宋_GB2312"/>
          <w:szCs w:val="32"/>
        </w:rPr>
        <w:t>＞</w:t>
      </w:r>
      <w:r>
        <w:rPr>
          <w:rFonts w:hint="eastAsia" w:ascii="仿宋_GB2312" w:hAnsi="仿宋_GB2312" w:cs="仿宋_GB2312"/>
          <w:szCs w:val="32"/>
          <w:lang w:val="en-US" w:eastAsia="zh-CN"/>
        </w:rPr>
        <w:t>模块B</w:t>
      </w:r>
      <w:r>
        <w:rPr>
          <w:rFonts w:hint="eastAsia" w:ascii="仿宋_GB2312" w:hAnsi="仿宋_GB2312" w:cs="仿宋_GB2312"/>
          <w:szCs w:val="32"/>
        </w:rPr>
        <w:t>＞</w:t>
      </w:r>
      <w:r>
        <w:rPr>
          <w:rFonts w:hint="eastAsia" w:ascii="仿宋_GB2312" w:hAnsi="仿宋_GB2312" w:cs="仿宋_GB2312"/>
          <w:szCs w:val="32"/>
          <w:lang w:val="en-US" w:eastAsia="zh-CN"/>
        </w:rPr>
        <w:t>模块A</w:t>
      </w:r>
      <w:r>
        <w:rPr>
          <w:rFonts w:hint="eastAsia" w:ascii="仿宋_GB2312" w:hAnsi="仿宋_GB2312" w:cs="仿宋_GB2312"/>
          <w:szCs w:val="32"/>
        </w:rPr>
        <w:t>顺序的分数高低决定排名。</w:t>
      </w:r>
    </w:p>
    <w:p w14:paraId="5C76F892">
      <w:pPr>
        <w:spacing w:line="580" w:lineRule="exact"/>
        <w:ind w:firstLine="640" w:firstLineChars="200"/>
        <w:outlineLvl w:val="0"/>
        <w:rPr>
          <w:rFonts w:eastAsia="黑体"/>
          <w:bCs/>
          <w:szCs w:val="32"/>
        </w:rPr>
      </w:pPr>
      <w:r>
        <w:rPr>
          <w:rFonts w:eastAsia="黑体"/>
          <w:bCs/>
          <w:szCs w:val="32"/>
        </w:rPr>
        <w:t>三、竞赛细则</w:t>
      </w:r>
    </w:p>
    <w:p w14:paraId="5B2AE3BC">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（一）参赛证于竞赛报到时凭有效身份证件领取。</w:t>
      </w:r>
    </w:p>
    <w:p w14:paraId="176F9651">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（二）各类人员须统一佩戴由执委会印制的证件，着装整齐。</w:t>
      </w:r>
    </w:p>
    <w:p w14:paraId="2EE64DEF">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三）理论竞赛选手须提前20分钟凭有效身份证件和参赛证进入赛场，对号入座并将有效身份证件和参赛证放在座位左上角明显位置，以备查验。开赛20分钟后方可离场，开赛迟到20分钟不得入场，按自动弃权处理。</w:t>
      </w:r>
    </w:p>
    <w:p w14:paraId="54489F9E">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（四）理论竞赛选手的出场顺序和工位由竞赛系统随机生成。</w:t>
      </w:r>
    </w:p>
    <w:p w14:paraId="0120496B">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五）实操竞赛选手须提前30分钟凭有效身份证件和参赛证进入赛场，对号（工位）入座并将有效身份证件和参赛证放在座位左上角明显位置，以备查验。开赛30分钟后方可离场，开赛迟到30分钟不得入场，按自动弃权处理。</w:t>
      </w:r>
    </w:p>
    <w:p w14:paraId="4EAD3941">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（六）实操竞赛选手的出场顺序和工位由抽签决定，不得私自调换竞赛选手号，否则按取消参赛处理。</w:t>
      </w:r>
    </w:p>
    <w:p w14:paraId="667A52F8">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七）选手不能携带与竞赛相关的文件资料、通讯工具、电子设备等进入赛场。在赛场上应自觉遵守赛场秩序，保持安静，竞赛进行过程中不允许任何形式的交谈，更不得大声喧哗吵闹，交头接耳，否则将给予警告或取消竞赛资格。</w:t>
      </w:r>
    </w:p>
    <w:p w14:paraId="7DCDF006">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（八）各赛场除现场裁判、选手、赛场配备的工作人员以外，其他人员未经允许不得进入竞赛区。所有选手未经同意不可私自离开赛场，否则按弃权处理。</w:t>
      </w:r>
    </w:p>
    <w:p w14:paraId="607E00A7">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（九）竞赛期间，选手未经大赛执委会批准，不得接受其他单位和个人对竞赛相关内容的采访，不得私自公布竞赛相关资料和情况。</w:t>
      </w:r>
    </w:p>
    <w:p w14:paraId="5CEBE4DA">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（十）竞赛过程中，选手须主动配合裁判工作，服从裁判安排，如果对竞赛的裁决有异议，可按规定以书面形式向执委会申诉受理部提出申诉。</w:t>
      </w:r>
    </w:p>
    <w:p w14:paraId="60B76565">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（十一）选手认为赛场提供的设备、工具不符合规定的应立即向现场裁判提出更换。</w:t>
      </w:r>
    </w:p>
    <w:p w14:paraId="76B9CA99">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（十二）竞赛规定时间结束时，选手应立即停止操作，不得以任何理由拖延竞赛时间，在工作人员引导下离开赛场。</w:t>
      </w:r>
    </w:p>
    <w:p w14:paraId="509E59E6">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（十三）冒名顶替、弄虚作假、作弊者，取消竞赛资格及成绩。</w:t>
      </w:r>
    </w:p>
    <w:p w14:paraId="65EBB261">
      <w:pPr>
        <w:wordWrap w:val="0"/>
        <w:adjustRightInd w:val="0"/>
        <w:snapToGrid w:val="0"/>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（十四）竞赛现场配备实时监控系统，对现场赛事进行完整的实时监控和录像，并有专人对竞赛环节进行全程录像。</w:t>
      </w:r>
    </w:p>
    <w:p w14:paraId="1E272DAC">
      <w:pPr>
        <w:spacing w:line="580" w:lineRule="exact"/>
        <w:ind w:firstLine="640" w:firstLineChars="200"/>
        <w:rPr>
          <w:rFonts w:hint="eastAsia" w:ascii="仿宋_GB2312" w:hAnsi="仿宋_GB2312" w:cs="仿宋_GB2312"/>
          <w:szCs w:val="32"/>
        </w:rPr>
      </w:pPr>
      <w:r>
        <w:rPr>
          <w:rFonts w:hint="eastAsia" w:ascii="仿宋_GB2312" w:hAnsi="仿宋_GB2312" w:cs="仿宋_GB2312"/>
          <w:szCs w:val="32"/>
        </w:rPr>
        <w:t>（十五）如竞赛出现不可预见的异常情况，由执委会与组委会商议后，做出处理决定。</w:t>
      </w:r>
    </w:p>
    <w:p w14:paraId="600FF1AE">
      <w:pPr>
        <w:spacing w:line="580" w:lineRule="exact"/>
        <w:ind w:firstLine="640" w:firstLineChars="200"/>
        <w:outlineLvl w:val="0"/>
        <w:rPr>
          <w:rFonts w:eastAsia="黑体"/>
          <w:bCs/>
          <w:szCs w:val="32"/>
        </w:rPr>
      </w:pPr>
      <w:r>
        <w:rPr>
          <w:rFonts w:eastAsia="黑体"/>
          <w:bCs/>
          <w:szCs w:val="32"/>
        </w:rPr>
        <w:t>四、竞赛场地、设施设备</w:t>
      </w:r>
    </w:p>
    <w:p w14:paraId="5EB78404">
      <w:pPr>
        <w:spacing w:line="580" w:lineRule="exact"/>
        <w:ind w:firstLine="640" w:firstLineChars="200"/>
        <w:outlineLvl w:val="1"/>
        <w:rPr>
          <w:rFonts w:eastAsia="楷体_GB2312"/>
          <w:szCs w:val="32"/>
        </w:rPr>
      </w:pPr>
      <w:r>
        <w:rPr>
          <w:rFonts w:eastAsia="楷体_GB2312"/>
          <w:szCs w:val="32"/>
        </w:rPr>
        <w:t>（一）赛场规格</w:t>
      </w:r>
    </w:p>
    <w:p w14:paraId="41506532">
      <w:pPr>
        <w:wordWrap w:val="0"/>
        <w:adjustRightInd w:val="0"/>
        <w:snapToGrid w:val="0"/>
        <w:spacing w:line="580" w:lineRule="exact"/>
        <w:ind w:firstLine="643" w:firstLineChars="200"/>
        <w:rPr>
          <w:rFonts w:hint="eastAsia" w:ascii="仿宋_GB2312" w:hAnsi="仿宋_GB2312" w:cs="仿宋_GB2312"/>
          <w:szCs w:val="32"/>
        </w:rPr>
      </w:pPr>
      <w:r>
        <w:rPr>
          <w:rFonts w:hint="eastAsia" w:ascii="仿宋_GB2312" w:hAnsi="仿宋_GB2312" w:cs="仿宋_GB2312"/>
          <w:b/>
          <w:bCs/>
          <w:szCs w:val="32"/>
        </w:rPr>
        <w:t>1.初赛。</w:t>
      </w:r>
      <w:r>
        <w:rPr>
          <w:rFonts w:hint="eastAsia" w:ascii="仿宋_GB2312" w:hAnsi="仿宋_GB2312" w:cs="仿宋_GB2312"/>
          <w:szCs w:val="32"/>
        </w:rPr>
        <w:t>参照计算机类工种考核要求布置赛场，配备与参赛人数相适应的计算机及竞赛答题软件，保证单人单机并留有一定数量的备用机。</w:t>
      </w:r>
    </w:p>
    <w:p w14:paraId="4446FD8A">
      <w:pPr>
        <w:spacing w:line="580" w:lineRule="exact"/>
        <w:ind w:firstLine="643" w:firstLineChars="200"/>
        <w:rPr>
          <w:rFonts w:eastAsia="黑体"/>
          <w:bCs/>
          <w:szCs w:val="32"/>
        </w:rPr>
      </w:pPr>
      <w:r>
        <w:rPr>
          <w:rFonts w:hint="eastAsia" w:ascii="仿宋_GB2312" w:hAnsi="仿宋_GB2312" w:cs="仿宋_GB2312"/>
          <w:b/>
          <w:bCs/>
          <w:szCs w:val="32"/>
        </w:rPr>
        <w:t>2.决赛。</w:t>
      </w:r>
      <w:r>
        <w:rPr>
          <w:rFonts w:hint="eastAsia" w:ascii="仿宋_GB2312" w:hAnsi="仿宋_GB2312" w:cs="仿宋_GB2312"/>
          <w:szCs w:val="32"/>
        </w:rPr>
        <w:t>竞赛现场设有竞赛区、裁判席、医疗点等，合计总面积约150平方米。每个竞赛设备设置1个比赛工位，合计50个比赛工位，每个工位设置物料摆放位。</w:t>
      </w:r>
    </w:p>
    <w:p w14:paraId="727970D2">
      <w:pPr>
        <w:spacing w:line="580" w:lineRule="exact"/>
        <w:ind w:firstLine="640" w:firstLineChars="200"/>
        <w:outlineLvl w:val="1"/>
        <w:rPr>
          <w:rFonts w:eastAsia="楷体_GB2312"/>
          <w:szCs w:val="32"/>
        </w:rPr>
      </w:pPr>
      <w:r>
        <w:rPr>
          <w:rFonts w:eastAsia="楷体_GB2312"/>
          <w:szCs w:val="32"/>
        </w:rPr>
        <w:t>（二）场地布局图</w:t>
      </w:r>
    </w:p>
    <w:p w14:paraId="37EA1263">
      <w:pPr>
        <w:pStyle w:val="7"/>
        <w:jc w:val="center"/>
        <w:rPr>
          <w:rFonts w:eastAsia="楷体_GB2312"/>
          <w:sz w:val="32"/>
          <w:szCs w:val="32"/>
        </w:rPr>
      </w:pPr>
      <w:r>
        <w:rPr>
          <w:rFonts w:hint="eastAsia" w:eastAsia="楷体_GB2312"/>
          <w:sz w:val="32"/>
          <w:szCs w:val="32"/>
        </w:rPr>
        <w:drawing>
          <wp:inline distT="0" distB="0" distL="114300" distR="114300">
            <wp:extent cx="2752725" cy="3951605"/>
            <wp:effectExtent l="0" t="0" r="0" b="0"/>
            <wp:docPr id="9" name="图片 9" descr="文字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文字文稿1_01"/>
                    <pic:cNvPicPr>
                      <a:picLocks noChangeAspect="1"/>
                    </pic:cNvPicPr>
                  </pic:nvPicPr>
                  <pic:blipFill>
                    <a:blip r:embed="rId5"/>
                    <a:srcRect l="13843" t="7377" r="9323" b="5843"/>
                    <a:stretch>
                      <a:fillRect/>
                    </a:stretch>
                  </pic:blipFill>
                  <pic:spPr>
                    <a:xfrm>
                      <a:off x="0" y="0"/>
                      <a:ext cx="2752725" cy="3951605"/>
                    </a:xfrm>
                    <a:prstGeom prst="rect">
                      <a:avLst/>
                    </a:prstGeom>
                  </pic:spPr>
                </pic:pic>
              </a:graphicData>
            </a:graphic>
          </wp:inline>
        </w:drawing>
      </w:r>
    </w:p>
    <w:p w14:paraId="29D04199">
      <w:pPr>
        <w:wordWrap w:val="0"/>
        <w:adjustRightInd w:val="0"/>
        <w:snapToGrid w:val="0"/>
        <w:spacing w:line="580" w:lineRule="exact"/>
        <w:jc w:val="center"/>
        <w:rPr>
          <w:rFonts w:hint="eastAsia" w:ascii="仿宋_GB2312" w:hAnsi="仿宋_GB2312" w:cs="仿宋_GB2312"/>
          <w:szCs w:val="32"/>
        </w:rPr>
      </w:pPr>
      <w:r>
        <w:rPr>
          <w:rFonts w:hint="eastAsia" w:ascii="仿宋_GB2312" w:hAnsi="仿宋_GB2312" w:cs="仿宋_GB2312"/>
          <w:szCs w:val="32"/>
        </w:rPr>
        <w:t>决赛场地布局示意图</w:t>
      </w:r>
    </w:p>
    <w:p w14:paraId="1100016D">
      <w:pPr>
        <w:wordWrap w:val="0"/>
        <w:adjustRightInd w:val="0"/>
        <w:snapToGrid w:val="0"/>
        <w:spacing w:line="580" w:lineRule="exact"/>
        <w:jc w:val="center"/>
        <w:rPr>
          <w:rFonts w:hint="eastAsia" w:ascii="仿宋_GB2312" w:hAnsi="仿宋_GB2312" w:cs="仿宋_GB2312"/>
          <w:szCs w:val="32"/>
        </w:rPr>
      </w:pPr>
    </w:p>
    <w:p w14:paraId="3571580F">
      <w:pPr>
        <w:spacing w:line="580" w:lineRule="exact"/>
        <w:ind w:firstLine="640" w:firstLineChars="200"/>
        <w:outlineLvl w:val="1"/>
        <w:rPr>
          <w:rFonts w:eastAsia="楷体_GB2312"/>
          <w:szCs w:val="32"/>
        </w:rPr>
      </w:pPr>
      <w:r>
        <w:rPr>
          <w:rFonts w:hint="eastAsia" w:eastAsia="楷体_GB2312"/>
          <w:szCs w:val="32"/>
        </w:rPr>
        <w:t>（三）</w:t>
      </w:r>
      <w:r>
        <w:rPr>
          <w:rFonts w:eastAsia="楷体_GB2312"/>
          <w:szCs w:val="32"/>
        </w:rPr>
        <w:t>基础设施清单</w:t>
      </w:r>
    </w:p>
    <w:p w14:paraId="584C0A3E">
      <w:pPr>
        <w:wordWrap w:val="0"/>
        <w:adjustRightInd w:val="0"/>
        <w:snapToGrid w:val="0"/>
        <w:spacing w:line="580" w:lineRule="exact"/>
        <w:jc w:val="center"/>
        <w:rPr>
          <w:rFonts w:hint="eastAsia" w:ascii="仿宋_GB2312" w:hAnsi="仿宋_GB2312" w:cs="仿宋_GB2312"/>
          <w:szCs w:val="32"/>
          <w:lang w:val="en"/>
        </w:rPr>
      </w:pPr>
      <w:r>
        <w:rPr>
          <w:rFonts w:hint="eastAsia" w:ascii="仿宋_GB2312" w:hAnsi="仿宋_GB2312" w:cs="仿宋_GB2312"/>
          <w:szCs w:val="32"/>
          <w:lang w:val="en"/>
        </w:rPr>
        <w:t>初赛设施、设备清单</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8"/>
        <w:gridCol w:w="1558"/>
        <w:gridCol w:w="2769"/>
        <w:gridCol w:w="2634"/>
      </w:tblGrid>
      <w:tr w14:paraId="5B80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pct"/>
            <w:vAlign w:val="center"/>
          </w:tcPr>
          <w:p w14:paraId="7831E1B5">
            <w:pPr>
              <w:pStyle w:val="6"/>
              <w:wordWrap w:val="0"/>
              <w:spacing w:line="0" w:lineRule="atLeast"/>
              <w:jc w:val="center"/>
              <w:rPr>
                <w:rFonts w:hint="eastAsia" w:ascii="仿宋_GB2312" w:hAnsi="仿宋_GB2312" w:cs="仿宋_GB2312"/>
                <w:b/>
                <w:bCs/>
                <w:sz w:val="24"/>
                <w:szCs w:val="24"/>
              </w:rPr>
            </w:pPr>
            <w:r>
              <w:rPr>
                <w:rFonts w:hint="eastAsia" w:ascii="仿宋_GB2312" w:hAnsi="仿宋_GB2312" w:cs="仿宋_GB2312"/>
                <w:b/>
                <w:bCs/>
                <w:sz w:val="24"/>
                <w:szCs w:val="24"/>
              </w:rPr>
              <w:t>序号</w:t>
            </w:r>
          </w:p>
        </w:tc>
        <w:tc>
          <w:tcPr>
            <w:tcW w:w="914" w:type="pct"/>
            <w:vAlign w:val="center"/>
          </w:tcPr>
          <w:p w14:paraId="2CACE041">
            <w:pPr>
              <w:pStyle w:val="6"/>
              <w:wordWrap w:val="0"/>
              <w:spacing w:line="0" w:lineRule="atLeast"/>
              <w:jc w:val="center"/>
              <w:rPr>
                <w:rFonts w:hint="eastAsia" w:ascii="仿宋_GB2312" w:hAnsi="仿宋_GB2312" w:cs="仿宋_GB2312"/>
                <w:b/>
                <w:bCs/>
                <w:sz w:val="24"/>
                <w:szCs w:val="24"/>
              </w:rPr>
            </w:pPr>
            <w:r>
              <w:rPr>
                <w:rFonts w:hint="eastAsia" w:ascii="仿宋_GB2312" w:hAnsi="仿宋_GB2312" w:cs="仿宋_GB2312"/>
                <w:b/>
                <w:bCs/>
                <w:sz w:val="24"/>
                <w:szCs w:val="24"/>
              </w:rPr>
              <w:t>名称</w:t>
            </w:r>
          </w:p>
        </w:tc>
        <w:tc>
          <w:tcPr>
            <w:tcW w:w="1624" w:type="pct"/>
            <w:vAlign w:val="center"/>
          </w:tcPr>
          <w:p w14:paraId="7F23EF0F">
            <w:pPr>
              <w:pStyle w:val="6"/>
              <w:wordWrap w:val="0"/>
              <w:spacing w:line="0" w:lineRule="atLeast"/>
              <w:jc w:val="center"/>
              <w:rPr>
                <w:rFonts w:hint="eastAsia" w:ascii="仿宋_GB2312" w:hAnsi="仿宋_GB2312" w:cs="仿宋_GB2312"/>
                <w:b/>
                <w:bCs/>
                <w:sz w:val="24"/>
                <w:szCs w:val="24"/>
              </w:rPr>
            </w:pPr>
            <w:r>
              <w:rPr>
                <w:rFonts w:hint="eastAsia" w:ascii="仿宋_GB2312" w:hAnsi="仿宋_GB2312" w:cs="仿宋_GB2312"/>
                <w:b/>
                <w:bCs/>
                <w:sz w:val="24"/>
                <w:szCs w:val="24"/>
              </w:rPr>
              <w:t>数量</w:t>
            </w:r>
          </w:p>
        </w:tc>
        <w:tc>
          <w:tcPr>
            <w:tcW w:w="1545" w:type="pct"/>
            <w:vAlign w:val="center"/>
          </w:tcPr>
          <w:p w14:paraId="2096FD4D">
            <w:pPr>
              <w:pStyle w:val="6"/>
              <w:wordWrap w:val="0"/>
              <w:spacing w:line="0" w:lineRule="atLeast"/>
              <w:jc w:val="center"/>
              <w:rPr>
                <w:rFonts w:hint="eastAsia" w:ascii="仿宋_GB2312" w:hAnsi="仿宋_GB2312" w:cs="仿宋_GB2312"/>
                <w:b/>
                <w:bCs/>
                <w:sz w:val="24"/>
                <w:szCs w:val="24"/>
              </w:rPr>
            </w:pPr>
            <w:r>
              <w:rPr>
                <w:rFonts w:hint="eastAsia" w:ascii="仿宋_GB2312" w:hAnsi="仿宋_GB2312" w:cs="仿宋_GB2312"/>
                <w:b/>
                <w:bCs/>
                <w:sz w:val="24"/>
                <w:szCs w:val="24"/>
              </w:rPr>
              <w:t>技术规格</w:t>
            </w:r>
          </w:p>
        </w:tc>
      </w:tr>
      <w:tr w14:paraId="6931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4" w:type="pct"/>
            <w:vAlign w:val="center"/>
          </w:tcPr>
          <w:p w14:paraId="5E7259E5">
            <w:pPr>
              <w:pStyle w:val="6"/>
              <w:wordWrap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1</w:t>
            </w:r>
          </w:p>
        </w:tc>
        <w:tc>
          <w:tcPr>
            <w:tcW w:w="914" w:type="pct"/>
            <w:vAlign w:val="center"/>
          </w:tcPr>
          <w:p w14:paraId="63EF9ADA">
            <w:pPr>
              <w:pStyle w:val="6"/>
              <w:wordWrap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电脑</w:t>
            </w:r>
          </w:p>
        </w:tc>
        <w:tc>
          <w:tcPr>
            <w:tcW w:w="1624" w:type="pct"/>
            <w:vAlign w:val="center"/>
          </w:tcPr>
          <w:p w14:paraId="7A149647">
            <w:pPr>
              <w:pStyle w:val="6"/>
              <w:wordWrap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1套/选手</w:t>
            </w:r>
          </w:p>
        </w:tc>
        <w:tc>
          <w:tcPr>
            <w:tcW w:w="1545" w:type="pct"/>
            <w:vAlign w:val="center"/>
          </w:tcPr>
          <w:p w14:paraId="02D61004">
            <w:pPr>
              <w:pStyle w:val="6"/>
              <w:wordWrap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统一配置</w:t>
            </w:r>
          </w:p>
        </w:tc>
      </w:tr>
    </w:tbl>
    <w:p w14:paraId="1D4F1B34">
      <w:pPr>
        <w:spacing w:line="580" w:lineRule="exact"/>
        <w:jc w:val="center"/>
        <w:outlineLvl w:val="0"/>
        <w:rPr>
          <w:rFonts w:hint="eastAsia" w:ascii="仿宋_GB2312" w:hAnsi="仿宋_GB2312" w:cs="仿宋_GB2312"/>
          <w:szCs w:val="32"/>
          <w:lang w:val="en"/>
        </w:rPr>
      </w:pPr>
      <w:r>
        <w:rPr>
          <w:rFonts w:hint="eastAsia" w:ascii="仿宋_GB2312" w:hAnsi="仿宋_GB2312" w:cs="仿宋_GB2312"/>
          <w:szCs w:val="32"/>
        </w:rPr>
        <w:t>决赛</w:t>
      </w:r>
      <w:r>
        <w:rPr>
          <w:rFonts w:hint="eastAsia" w:ascii="仿宋_GB2312" w:hAnsi="仿宋_GB2312" w:cs="仿宋_GB2312"/>
          <w:szCs w:val="32"/>
          <w:lang w:val="en"/>
        </w:rPr>
        <w:t>设施、设备清单</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440"/>
        <w:gridCol w:w="4815"/>
        <w:gridCol w:w="763"/>
        <w:gridCol w:w="771"/>
      </w:tblGrid>
      <w:tr w14:paraId="5FF8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dxa"/>
            <w:tcBorders>
              <w:tl2br w:val="nil"/>
              <w:tr2bl w:val="nil"/>
            </w:tcBorders>
            <w:vAlign w:val="center"/>
          </w:tcPr>
          <w:p w14:paraId="7ED36DCF">
            <w:pPr>
              <w:spacing w:line="0" w:lineRule="atLeast"/>
              <w:jc w:val="center"/>
              <w:rPr>
                <w:rFonts w:hint="eastAsia" w:ascii="仿宋_GB2312" w:hAnsi="仿宋_GB2312" w:cs="仿宋_GB2312"/>
                <w:b/>
                <w:sz w:val="24"/>
                <w:szCs w:val="24"/>
              </w:rPr>
            </w:pPr>
            <w:r>
              <w:rPr>
                <w:rFonts w:hint="eastAsia" w:ascii="仿宋_GB2312" w:hAnsi="仿宋_GB2312" w:cs="仿宋_GB2312"/>
                <w:b/>
                <w:sz w:val="24"/>
                <w:szCs w:val="24"/>
              </w:rPr>
              <w:t>序号</w:t>
            </w:r>
          </w:p>
        </w:tc>
        <w:tc>
          <w:tcPr>
            <w:tcW w:w="1440" w:type="dxa"/>
            <w:tcBorders>
              <w:tl2br w:val="nil"/>
              <w:tr2bl w:val="nil"/>
            </w:tcBorders>
            <w:vAlign w:val="center"/>
          </w:tcPr>
          <w:p w14:paraId="102888D3">
            <w:pPr>
              <w:spacing w:line="0" w:lineRule="atLeast"/>
              <w:jc w:val="center"/>
              <w:rPr>
                <w:rFonts w:hint="eastAsia" w:ascii="仿宋_GB2312" w:hAnsi="仿宋_GB2312" w:cs="仿宋_GB2312"/>
                <w:b/>
                <w:sz w:val="24"/>
                <w:szCs w:val="24"/>
              </w:rPr>
            </w:pPr>
            <w:r>
              <w:rPr>
                <w:rFonts w:hint="eastAsia" w:ascii="仿宋_GB2312" w:hAnsi="仿宋_GB2312" w:cs="仿宋_GB2312"/>
                <w:b/>
                <w:sz w:val="24"/>
                <w:szCs w:val="24"/>
              </w:rPr>
              <w:t>设备</w:t>
            </w:r>
          </w:p>
        </w:tc>
        <w:tc>
          <w:tcPr>
            <w:tcW w:w="4815" w:type="dxa"/>
            <w:tcBorders>
              <w:tl2br w:val="nil"/>
              <w:tr2bl w:val="nil"/>
            </w:tcBorders>
            <w:vAlign w:val="center"/>
          </w:tcPr>
          <w:p w14:paraId="7E15CC68">
            <w:pPr>
              <w:spacing w:line="0" w:lineRule="atLeast"/>
              <w:jc w:val="center"/>
              <w:rPr>
                <w:rFonts w:hint="eastAsia" w:ascii="仿宋_GB2312" w:hAnsi="仿宋_GB2312" w:cs="仿宋_GB2312"/>
                <w:b/>
                <w:sz w:val="24"/>
                <w:szCs w:val="24"/>
              </w:rPr>
            </w:pPr>
            <w:r>
              <w:rPr>
                <w:rFonts w:hint="eastAsia" w:ascii="仿宋_GB2312" w:hAnsi="仿宋_GB2312" w:cs="仿宋_GB2312"/>
                <w:b/>
                <w:sz w:val="24"/>
                <w:szCs w:val="24"/>
              </w:rPr>
              <w:t>规格说明</w:t>
            </w:r>
          </w:p>
        </w:tc>
        <w:tc>
          <w:tcPr>
            <w:tcW w:w="763" w:type="dxa"/>
            <w:tcBorders>
              <w:tl2br w:val="nil"/>
              <w:tr2bl w:val="nil"/>
            </w:tcBorders>
            <w:vAlign w:val="center"/>
          </w:tcPr>
          <w:p w14:paraId="254FB61B">
            <w:pPr>
              <w:spacing w:line="0" w:lineRule="atLeast"/>
              <w:jc w:val="center"/>
              <w:rPr>
                <w:rFonts w:hint="eastAsia" w:ascii="仿宋_GB2312" w:hAnsi="仿宋_GB2312" w:cs="仿宋_GB2312"/>
                <w:b/>
                <w:sz w:val="24"/>
                <w:szCs w:val="24"/>
              </w:rPr>
            </w:pPr>
            <w:r>
              <w:rPr>
                <w:rFonts w:hint="eastAsia" w:ascii="仿宋_GB2312" w:hAnsi="仿宋_GB2312" w:cs="仿宋_GB2312"/>
                <w:b/>
                <w:sz w:val="24"/>
                <w:szCs w:val="24"/>
              </w:rPr>
              <w:t>数量</w:t>
            </w:r>
          </w:p>
        </w:tc>
        <w:tc>
          <w:tcPr>
            <w:tcW w:w="0" w:type="auto"/>
            <w:tcBorders>
              <w:tl2br w:val="nil"/>
              <w:tr2bl w:val="nil"/>
            </w:tcBorders>
            <w:vAlign w:val="center"/>
          </w:tcPr>
          <w:p w14:paraId="7E09FB41">
            <w:pPr>
              <w:spacing w:line="0" w:lineRule="atLeast"/>
              <w:jc w:val="center"/>
              <w:rPr>
                <w:rFonts w:hint="eastAsia" w:ascii="仿宋_GB2312" w:hAnsi="仿宋_GB2312" w:cs="仿宋_GB2312"/>
                <w:b/>
                <w:sz w:val="24"/>
                <w:szCs w:val="24"/>
              </w:rPr>
            </w:pPr>
            <w:r>
              <w:rPr>
                <w:rFonts w:hint="eastAsia" w:ascii="仿宋_GB2312" w:hAnsi="仿宋_GB2312" w:cs="仿宋_GB2312"/>
                <w:b/>
                <w:sz w:val="24"/>
                <w:szCs w:val="24"/>
              </w:rPr>
              <w:t>备注</w:t>
            </w:r>
          </w:p>
        </w:tc>
      </w:tr>
      <w:tr w14:paraId="5919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dxa"/>
            <w:tcBorders>
              <w:tl2br w:val="nil"/>
              <w:tr2bl w:val="nil"/>
            </w:tcBorders>
            <w:vAlign w:val="center"/>
          </w:tcPr>
          <w:p w14:paraId="686EA49A">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1</w:t>
            </w:r>
          </w:p>
        </w:tc>
        <w:tc>
          <w:tcPr>
            <w:tcW w:w="1440" w:type="dxa"/>
            <w:tcBorders>
              <w:tl2br w:val="nil"/>
              <w:tr2bl w:val="nil"/>
            </w:tcBorders>
            <w:vAlign w:val="center"/>
          </w:tcPr>
          <w:p w14:paraId="77ADA6DF">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智能硬件实训桌</w:t>
            </w:r>
          </w:p>
        </w:tc>
        <w:tc>
          <w:tcPr>
            <w:tcW w:w="4815" w:type="dxa"/>
            <w:tcBorders>
              <w:tl2br w:val="nil"/>
              <w:tr2bl w:val="nil"/>
            </w:tcBorders>
            <w:vAlign w:val="center"/>
          </w:tcPr>
          <w:p w14:paraId="5BE7ADAC">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规格：长700mm，宽450mm。</w:t>
            </w:r>
          </w:p>
        </w:tc>
        <w:tc>
          <w:tcPr>
            <w:tcW w:w="763" w:type="dxa"/>
            <w:tcBorders>
              <w:tl2br w:val="nil"/>
              <w:tr2bl w:val="nil"/>
            </w:tcBorders>
            <w:vAlign w:val="center"/>
          </w:tcPr>
          <w:p w14:paraId="61FE98A4">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50</w:t>
            </w:r>
          </w:p>
        </w:tc>
        <w:tc>
          <w:tcPr>
            <w:tcW w:w="0" w:type="auto"/>
            <w:tcBorders>
              <w:tl2br w:val="nil"/>
              <w:tr2bl w:val="nil"/>
            </w:tcBorders>
            <w:vAlign w:val="center"/>
          </w:tcPr>
          <w:p w14:paraId="7F32C0C3">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赛场提供</w:t>
            </w:r>
          </w:p>
        </w:tc>
      </w:tr>
      <w:tr w14:paraId="7EA9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dxa"/>
            <w:tcBorders>
              <w:tl2br w:val="nil"/>
              <w:tr2bl w:val="nil"/>
            </w:tcBorders>
            <w:vAlign w:val="center"/>
          </w:tcPr>
          <w:p w14:paraId="54F2670D">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2</w:t>
            </w:r>
          </w:p>
        </w:tc>
        <w:tc>
          <w:tcPr>
            <w:tcW w:w="1440" w:type="dxa"/>
            <w:tcBorders>
              <w:tl2br w:val="nil"/>
              <w:tr2bl w:val="nil"/>
            </w:tcBorders>
            <w:vAlign w:val="center"/>
          </w:tcPr>
          <w:p w14:paraId="72684891">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笔记本电脑</w:t>
            </w:r>
          </w:p>
        </w:tc>
        <w:tc>
          <w:tcPr>
            <w:tcW w:w="4815" w:type="dxa"/>
            <w:tcBorders>
              <w:tl2br w:val="nil"/>
              <w:tr2bl w:val="nil"/>
            </w:tcBorders>
            <w:vAlign w:val="center"/>
          </w:tcPr>
          <w:p w14:paraId="25B4E3A1">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统一配置</w:t>
            </w:r>
          </w:p>
        </w:tc>
        <w:tc>
          <w:tcPr>
            <w:tcW w:w="763" w:type="dxa"/>
            <w:tcBorders>
              <w:tl2br w:val="nil"/>
              <w:tr2bl w:val="nil"/>
            </w:tcBorders>
            <w:vAlign w:val="center"/>
          </w:tcPr>
          <w:p w14:paraId="278D6232">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51</w:t>
            </w:r>
          </w:p>
        </w:tc>
        <w:tc>
          <w:tcPr>
            <w:tcW w:w="0" w:type="auto"/>
            <w:tcBorders>
              <w:tl2br w:val="nil"/>
              <w:tr2bl w:val="nil"/>
            </w:tcBorders>
            <w:vAlign w:val="center"/>
          </w:tcPr>
          <w:p w14:paraId="75FCCF4F">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赛场提供</w:t>
            </w:r>
          </w:p>
        </w:tc>
      </w:tr>
      <w:tr w14:paraId="4D8B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dxa"/>
            <w:tcBorders>
              <w:tl2br w:val="nil"/>
              <w:tr2bl w:val="nil"/>
            </w:tcBorders>
            <w:vAlign w:val="center"/>
          </w:tcPr>
          <w:p w14:paraId="5A7EC95B">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3</w:t>
            </w:r>
          </w:p>
        </w:tc>
        <w:tc>
          <w:tcPr>
            <w:tcW w:w="1440" w:type="dxa"/>
            <w:tcBorders>
              <w:tl2br w:val="nil"/>
              <w:tr2bl w:val="nil"/>
            </w:tcBorders>
            <w:vAlign w:val="center"/>
          </w:tcPr>
          <w:p w14:paraId="4CFF8FAF">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比赛材料</w:t>
            </w:r>
          </w:p>
        </w:tc>
        <w:tc>
          <w:tcPr>
            <w:tcW w:w="4815" w:type="dxa"/>
            <w:tcBorders>
              <w:tl2br w:val="nil"/>
              <w:tr2bl w:val="nil"/>
            </w:tcBorders>
            <w:vAlign w:val="center"/>
          </w:tcPr>
          <w:p w14:paraId="03380E6F">
            <w:pPr>
              <w:spacing w:line="0" w:lineRule="atLeast"/>
              <w:jc w:val="left"/>
              <w:rPr>
                <w:rFonts w:hint="eastAsia" w:ascii="仿宋_GB2312" w:hAnsi="仿宋_GB2312" w:cs="仿宋_GB2312"/>
                <w:sz w:val="24"/>
                <w:szCs w:val="24"/>
              </w:rPr>
            </w:pPr>
            <w:r>
              <w:rPr>
                <w:rFonts w:hint="eastAsia" w:ascii="仿宋_GB2312" w:hAnsi="仿宋_GB2312" w:cs="仿宋_GB2312"/>
                <w:sz w:val="24"/>
                <w:szCs w:val="24"/>
              </w:rPr>
              <w:t>包括GD32E235核心板、四位数码管显示模块、温湿度传感器（DHT11）、8路LED流水灯模块，4位独立按键模块及杜邦线等材料。</w:t>
            </w:r>
          </w:p>
        </w:tc>
        <w:tc>
          <w:tcPr>
            <w:tcW w:w="763" w:type="dxa"/>
            <w:tcBorders>
              <w:tl2br w:val="nil"/>
              <w:tr2bl w:val="nil"/>
            </w:tcBorders>
            <w:vAlign w:val="center"/>
          </w:tcPr>
          <w:p w14:paraId="188E7458">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51</w:t>
            </w:r>
          </w:p>
        </w:tc>
        <w:tc>
          <w:tcPr>
            <w:tcW w:w="0" w:type="auto"/>
            <w:tcBorders>
              <w:tl2br w:val="nil"/>
              <w:tr2bl w:val="nil"/>
            </w:tcBorders>
            <w:vAlign w:val="center"/>
          </w:tcPr>
          <w:p w14:paraId="2C121A68">
            <w:pPr>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赛场提供</w:t>
            </w:r>
          </w:p>
        </w:tc>
      </w:tr>
    </w:tbl>
    <w:p w14:paraId="0692AE05">
      <w:pPr>
        <w:spacing w:line="580" w:lineRule="exact"/>
        <w:jc w:val="center"/>
        <w:outlineLvl w:val="0"/>
        <w:rPr>
          <w:rFonts w:hint="eastAsia" w:ascii="仿宋_GB2312" w:hAnsi="仿宋_GB2312" w:cs="仿宋_GB2312"/>
          <w:szCs w:val="32"/>
        </w:rPr>
      </w:pPr>
      <w:r>
        <w:rPr>
          <w:rFonts w:hint="eastAsia" w:ascii="仿宋_GB2312" w:hAnsi="仿宋_GB2312" w:cs="仿宋_GB2312"/>
          <w:szCs w:val="32"/>
        </w:rPr>
        <w:t>赛场提供决赛工具、材料清单表</w:t>
      </w:r>
    </w:p>
    <w:tbl>
      <w:tblPr>
        <w:tblStyle w:val="12"/>
        <w:tblW w:w="50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1"/>
        <w:gridCol w:w="3360"/>
        <w:gridCol w:w="1273"/>
        <w:gridCol w:w="2911"/>
      </w:tblGrid>
      <w:tr w14:paraId="4B17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96" w:type="pct"/>
            <w:tcBorders>
              <w:tl2br w:val="nil"/>
              <w:tr2bl w:val="nil"/>
            </w:tcBorders>
            <w:vAlign w:val="center"/>
          </w:tcPr>
          <w:p w14:paraId="442AB08F">
            <w:pPr>
              <w:pStyle w:val="11"/>
              <w:spacing w:line="0" w:lineRule="atLeast"/>
              <w:ind w:firstLine="0" w:firstLineChars="0"/>
              <w:jc w:val="center"/>
              <w:rPr>
                <w:rFonts w:hint="eastAsia" w:ascii="仿宋_GB2312" w:hAnsi="仿宋_GB2312" w:cs="仿宋_GB2312"/>
                <w:b/>
                <w:bCs/>
                <w:sz w:val="24"/>
                <w:szCs w:val="24"/>
              </w:rPr>
            </w:pPr>
            <w:r>
              <w:rPr>
                <w:rFonts w:hint="eastAsia" w:ascii="仿宋_GB2312" w:hAnsi="仿宋_GB2312" w:cs="仿宋_GB2312"/>
                <w:b/>
                <w:bCs/>
                <w:sz w:val="24"/>
                <w:szCs w:val="24"/>
              </w:rPr>
              <w:t>序号</w:t>
            </w:r>
          </w:p>
        </w:tc>
        <w:tc>
          <w:tcPr>
            <w:tcW w:w="1961" w:type="pct"/>
            <w:tcBorders>
              <w:tl2br w:val="nil"/>
              <w:tr2bl w:val="nil"/>
            </w:tcBorders>
            <w:vAlign w:val="center"/>
          </w:tcPr>
          <w:p w14:paraId="34C44760">
            <w:pPr>
              <w:adjustRightInd w:val="0"/>
              <w:snapToGrid w:val="0"/>
              <w:spacing w:line="0" w:lineRule="atLeast"/>
              <w:jc w:val="center"/>
              <w:rPr>
                <w:rFonts w:hint="eastAsia" w:ascii="仿宋_GB2312" w:hAnsi="仿宋_GB2312" w:cs="仿宋_GB2312"/>
                <w:b/>
                <w:bCs/>
                <w:sz w:val="24"/>
                <w:szCs w:val="24"/>
              </w:rPr>
            </w:pPr>
            <w:r>
              <w:rPr>
                <w:rFonts w:hint="eastAsia" w:ascii="仿宋_GB2312" w:hAnsi="仿宋_GB2312" w:cs="仿宋_GB2312"/>
                <w:b/>
                <w:bCs/>
                <w:sz w:val="24"/>
                <w:szCs w:val="24"/>
              </w:rPr>
              <w:t>工具名称</w:t>
            </w:r>
          </w:p>
        </w:tc>
        <w:tc>
          <w:tcPr>
            <w:tcW w:w="743" w:type="pct"/>
            <w:tcBorders>
              <w:tl2br w:val="nil"/>
              <w:tr2bl w:val="nil"/>
            </w:tcBorders>
            <w:vAlign w:val="center"/>
          </w:tcPr>
          <w:p w14:paraId="68F2F727">
            <w:pPr>
              <w:adjustRightInd w:val="0"/>
              <w:snapToGrid w:val="0"/>
              <w:spacing w:line="0" w:lineRule="atLeast"/>
              <w:jc w:val="center"/>
              <w:rPr>
                <w:rFonts w:hint="eastAsia" w:ascii="仿宋_GB2312" w:hAnsi="仿宋_GB2312" w:cs="仿宋_GB2312"/>
                <w:b/>
                <w:bCs/>
                <w:sz w:val="24"/>
                <w:szCs w:val="24"/>
              </w:rPr>
            </w:pPr>
            <w:r>
              <w:rPr>
                <w:rFonts w:hint="eastAsia" w:ascii="仿宋_GB2312" w:hAnsi="仿宋_GB2312" w:cs="仿宋_GB2312"/>
                <w:b/>
                <w:bCs/>
                <w:sz w:val="24"/>
                <w:szCs w:val="24"/>
              </w:rPr>
              <w:t>数量</w:t>
            </w:r>
          </w:p>
        </w:tc>
        <w:tc>
          <w:tcPr>
            <w:tcW w:w="1699" w:type="pct"/>
            <w:tcBorders>
              <w:tl2br w:val="nil"/>
              <w:tr2bl w:val="nil"/>
            </w:tcBorders>
            <w:vAlign w:val="center"/>
          </w:tcPr>
          <w:p w14:paraId="4C0085BC">
            <w:pPr>
              <w:adjustRightInd w:val="0"/>
              <w:snapToGrid w:val="0"/>
              <w:spacing w:line="0" w:lineRule="atLeast"/>
              <w:jc w:val="center"/>
              <w:rPr>
                <w:rFonts w:hint="eastAsia" w:ascii="仿宋_GB2312" w:hAnsi="仿宋_GB2312" w:cs="仿宋_GB2312"/>
                <w:b/>
                <w:bCs/>
                <w:sz w:val="24"/>
                <w:szCs w:val="24"/>
              </w:rPr>
            </w:pPr>
            <w:r>
              <w:rPr>
                <w:rFonts w:hint="eastAsia" w:ascii="仿宋_GB2312" w:hAnsi="仿宋_GB2312" w:cs="仿宋_GB2312"/>
                <w:b/>
                <w:bCs/>
                <w:sz w:val="24"/>
                <w:szCs w:val="24"/>
              </w:rPr>
              <w:t>备注</w:t>
            </w:r>
          </w:p>
        </w:tc>
      </w:tr>
      <w:tr w14:paraId="5339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6" w:type="pct"/>
            <w:tcBorders>
              <w:tl2br w:val="nil"/>
              <w:tr2bl w:val="nil"/>
            </w:tcBorders>
            <w:vAlign w:val="center"/>
          </w:tcPr>
          <w:p w14:paraId="57E71D5D">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1</w:t>
            </w:r>
          </w:p>
        </w:tc>
        <w:tc>
          <w:tcPr>
            <w:tcW w:w="1961" w:type="pct"/>
            <w:tcBorders>
              <w:tl2br w:val="nil"/>
              <w:tr2bl w:val="nil"/>
            </w:tcBorders>
            <w:vAlign w:val="center"/>
          </w:tcPr>
          <w:p w14:paraId="585E4F8D">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核心板</w:t>
            </w:r>
          </w:p>
        </w:tc>
        <w:tc>
          <w:tcPr>
            <w:tcW w:w="743" w:type="pct"/>
            <w:tcBorders>
              <w:tl2br w:val="nil"/>
              <w:tr2bl w:val="nil"/>
            </w:tcBorders>
            <w:vAlign w:val="center"/>
          </w:tcPr>
          <w:p w14:paraId="351EBB1A">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51块</w:t>
            </w:r>
          </w:p>
        </w:tc>
        <w:tc>
          <w:tcPr>
            <w:tcW w:w="1699" w:type="pct"/>
            <w:tcBorders>
              <w:tl2br w:val="nil"/>
              <w:tr2bl w:val="nil"/>
            </w:tcBorders>
            <w:vAlign w:val="center"/>
          </w:tcPr>
          <w:p w14:paraId="76FC96FB">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GD32E235</w:t>
            </w:r>
          </w:p>
        </w:tc>
      </w:tr>
      <w:tr w14:paraId="5073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6" w:type="pct"/>
            <w:tcBorders>
              <w:tl2br w:val="nil"/>
              <w:tr2bl w:val="nil"/>
            </w:tcBorders>
            <w:vAlign w:val="center"/>
          </w:tcPr>
          <w:p w14:paraId="4CD1A545">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2</w:t>
            </w:r>
          </w:p>
        </w:tc>
        <w:tc>
          <w:tcPr>
            <w:tcW w:w="1961" w:type="pct"/>
            <w:tcBorders>
              <w:tl2br w:val="nil"/>
              <w:tr2bl w:val="nil"/>
            </w:tcBorders>
            <w:vAlign w:val="center"/>
          </w:tcPr>
          <w:p w14:paraId="21BE1BD7">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四位数码管显示模块</w:t>
            </w:r>
          </w:p>
        </w:tc>
        <w:tc>
          <w:tcPr>
            <w:tcW w:w="743" w:type="pct"/>
            <w:tcBorders>
              <w:tl2br w:val="nil"/>
              <w:tr2bl w:val="nil"/>
            </w:tcBorders>
            <w:vAlign w:val="center"/>
          </w:tcPr>
          <w:p w14:paraId="153EBD6E">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51个</w:t>
            </w:r>
          </w:p>
        </w:tc>
        <w:tc>
          <w:tcPr>
            <w:tcW w:w="1699" w:type="pct"/>
            <w:tcBorders>
              <w:tl2br w:val="nil"/>
              <w:tr2bl w:val="nil"/>
            </w:tcBorders>
            <w:vAlign w:val="center"/>
          </w:tcPr>
          <w:p w14:paraId="22F5F2E3">
            <w:pPr>
              <w:adjustRightInd w:val="0"/>
              <w:snapToGrid w:val="0"/>
              <w:spacing w:line="0" w:lineRule="atLeast"/>
              <w:jc w:val="center"/>
              <w:rPr>
                <w:rFonts w:hint="eastAsia" w:ascii="仿宋_GB2312" w:hAnsi="仿宋_GB2312" w:cs="仿宋_GB2312"/>
                <w:sz w:val="24"/>
                <w:szCs w:val="24"/>
              </w:rPr>
            </w:pPr>
          </w:p>
        </w:tc>
      </w:tr>
      <w:tr w14:paraId="3F7D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96" w:type="pct"/>
            <w:tcBorders>
              <w:tl2br w:val="nil"/>
              <w:tr2bl w:val="nil"/>
            </w:tcBorders>
            <w:vAlign w:val="center"/>
          </w:tcPr>
          <w:p w14:paraId="044E3038">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3</w:t>
            </w:r>
          </w:p>
        </w:tc>
        <w:tc>
          <w:tcPr>
            <w:tcW w:w="1961" w:type="pct"/>
            <w:tcBorders>
              <w:tl2br w:val="nil"/>
              <w:tr2bl w:val="nil"/>
            </w:tcBorders>
            <w:vAlign w:val="center"/>
          </w:tcPr>
          <w:p w14:paraId="469C8D5D">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温湿度传感器</w:t>
            </w:r>
          </w:p>
        </w:tc>
        <w:tc>
          <w:tcPr>
            <w:tcW w:w="743" w:type="pct"/>
            <w:tcBorders>
              <w:tl2br w:val="nil"/>
              <w:tr2bl w:val="nil"/>
            </w:tcBorders>
            <w:vAlign w:val="center"/>
          </w:tcPr>
          <w:p w14:paraId="7EE80B63">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51个</w:t>
            </w:r>
          </w:p>
        </w:tc>
        <w:tc>
          <w:tcPr>
            <w:tcW w:w="1699" w:type="pct"/>
            <w:tcBorders>
              <w:tl2br w:val="nil"/>
              <w:tr2bl w:val="nil"/>
            </w:tcBorders>
            <w:vAlign w:val="center"/>
          </w:tcPr>
          <w:p w14:paraId="2709D6AB">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DHT11</w:t>
            </w:r>
          </w:p>
        </w:tc>
      </w:tr>
      <w:tr w14:paraId="6258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6" w:type="pct"/>
            <w:tcBorders>
              <w:tl2br w:val="nil"/>
              <w:tr2bl w:val="nil"/>
            </w:tcBorders>
            <w:vAlign w:val="center"/>
          </w:tcPr>
          <w:p w14:paraId="3E85D052">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4</w:t>
            </w:r>
          </w:p>
        </w:tc>
        <w:tc>
          <w:tcPr>
            <w:tcW w:w="1961" w:type="pct"/>
            <w:tcBorders>
              <w:tl2br w:val="nil"/>
              <w:tr2bl w:val="nil"/>
            </w:tcBorders>
            <w:vAlign w:val="center"/>
          </w:tcPr>
          <w:p w14:paraId="2E95AB63">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8路LED流水灯模块</w:t>
            </w:r>
          </w:p>
        </w:tc>
        <w:tc>
          <w:tcPr>
            <w:tcW w:w="743" w:type="pct"/>
            <w:tcBorders>
              <w:tl2br w:val="nil"/>
              <w:tr2bl w:val="nil"/>
            </w:tcBorders>
            <w:vAlign w:val="center"/>
          </w:tcPr>
          <w:p w14:paraId="3EDCC763">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51个</w:t>
            </w:r>
          </w:p>
        </w:tc>
        <w:tc>
          <w:tcPr>
            <w:tcW w:w="1699" w:type="pct"/>
            <w:tcBorders>
              <w:tl2br w:val="nil"/>
              <w:tr2bl w:val="nil"/>
            </w:tcBorders>
            <w:vAlign w:val="center"/>
          </w:tcPr>
          <w:p w14:paraId="36D9F350">
            <w:pPr>
              <w:adjustRightInd w:val="0"/>
              <w:snapToGrid w:val="0"/>
              <w:spacing w:line="0" w:lineRule="atLeast"/>
              <w:jc w:val="center"/>
              <w:rPr>
                <w:rFonts w:hint="eastAsia" w:ascii="仿宋_GB2312" w:hAnsi="仿宋_GB2312" w:cs="仿宋_GB2312"/>
                <w:sz w:val="24"/>
                <w:szCs w:val="24"/>
              </w:rPr>
            </w:pPr>
          </w:p>
        </w:tc>
      </w:tr>
      <w:tr w14:paraId="03CE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6" w:type="pct"/>
            <w:tcBorders>
              <w:tl2br w:val="nil"/>
              <w:tr2bl w:val="nil"/>
            </w:tcBorders>
            <w:vAlign w:val="center"/>
          </w:tcPr>
          <w:p w14:paraId="6755318C">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5</w:t>
            </w:r>
          </w:p>
        </w:tc>
        <w:tc>
          <w:tcPr>
            <w:tcW w:w="1961" w:type="pct"/>
            <w:tcBorders>
              <w:tl2br w:val="nil"/>
              <w:tr2bl w:val="nil"/>
            </w:tcBorders>
            <w:vAlign w:val="center"/>
          </w:tcPr>
          <w:p w14:paraId="4A5ABD59">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4位独立按键模块</w:t>
            </w:r>
          </w:p>
        </w:tc>
        <w:tc>
          <w:tcPr>
            <w:tcW w:w="743" w:type="pct"/>
            <w:tcBorders>
              <w:tl2br w:val="nil"/>
              <w:tr2bl w:val="nil"/>
            </w:tcBorders>
            <w:vAlign w:val="center"/>
          </w:tcPr>
          <w:p w14:paraId="161ED1FB">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51个</w:t>
            </w:r>
          </w:p>
        </w:tc>
        <w:tc>
          <w:tcPr>
            <w:tcW w:w="1699" w:type="pct"/>
            <w:tcBorders>
              <w:tl2br w:val="nil"/>
              <w:tr2bl w:val="nil"/>
            </w:tcBorders>
            <w:vAlign w:val="center"/>
          </w:tcPr>
          <w:p w14:paraId="376A4B13">
            <w:pPr>
              <w:adjustRightInd w:val="0"/>
              <w:snapToGrid w:val="0"/>
              <w:spacing w:line="0" w:lineRule="atLeast"/>
              <w:jc w:val="center"/>
              <w:rPr>
                <w:rFonts w:hint="eastAsia" w:ascii="仿宋_GB2312" w:hAnsi="仿宋_GB2312" w:cs="仿宋_GB2312"/>
                <w:sz w:val="24"/>
                <w:szCs w:val="24"/>
              </w:rPr>
            </w:pPr>
          </w:p>
        </w:tc>
      </w:tr>
      <w:tr w14:paraId="2BA1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6" w:type="pct"/>
            <w:tcBorders>
              <w:tl2br w:val="nil"/>
              <w:tr2bl w:val="nil"/>
            </w:tcBorders>
            <w:vAlign w:val="center"/>
          </w:tcPr>
          <w:p w14:paraId="3117C5FF">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6</w:t>
            </w:r>
          </w:p>
        </w:tc>
        <w:tc>
          <w:tcPr>
            <w:tcW w:w="1961" w:type="pct"/>
            <w:tcBorders>
              <w:tl2br w:val="nil"/>
              <w:tr2bl w:val="nil"/>
            </w:tcBorders>
            <w:vAlign w:val="center"/>
          </w:tcPr>
          <w:p w14:paraId="78138C31">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杜邦线</w:t>
            </w:r>
          </w:p>
        </w:tc>
        <w:tc>
          <w:tcPr>
            <w:tcW w:w="743" w:type="pct"/>
            <w:tcBorders>
              <w:tl2br w:val="nil"/>
              <w:tr2bl w:val="nil"/>
            </w:tcBorders>
            <w:vAlign w:val="center"/>
          </w:tcPr>
          <w:p w14:paraId="20F63BB9">
            <w:pPr>
              <w:adjustRightInd w:val="0"/>
              <w:snapToGrid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rPr>
              <w:t>若干</w:t>
            </w:r>
          </w:p>
        </w:tc>
        <w:tc>
          <w:tcPr>
            <w:tcW w:w="1699" w:type="pct"/>
            <w:tcBorders>
              <w:tl2br w:val="nil"/>
              <w:tr2bl w:val="nil"/>
            </w:tcBorders>
            <w:vAlign w:val="center"/>
          </w:tcPr>
          <w:p w14:paraId="215DEEDE">
            <w:pPr>
              <w:adjustRightInd w:val="0"/>
              <w:snapToGrid w:val="0"/>
              <w:spacing w:line="0" w:lineRule="atLeast"/>
              <w:jc w:val="center"/>
              <w:rPr>
                <w:rFonts w:hint="eastAsia" w:ascii="仿宋_GB2312" w:hAnsi="仿宋_GB2312" w:cs="仿宋_GB2312"/>
                <w:sz w:val="24"/>
                <w:szCs w:val="24"/>
              </w:rPr>
            </w:pPr>
          </w:p>
        </w:tc>
      </w:tr>
    </w:tbl>
    <w:p w14:paraId="6CB12049">
      <w:pPr>
        <w:wordWrap w:val="0"/>
        <w:adjustRightInd w:val="0"/>
        <w:snapToGrid w:val="0"/>
        <w:spacing w:line="580" w:lineRule="exact"/>
        <w:jc w:val="center"/>
        <w:outlineLvl w:val="0"/>
        <w:rPr>
          <w:rFonts w:hint="eastAsia" w:ascii="仿宋_GB2312" w:hAnsi="仿宋_GB2312" w:cs="仿宋_GB2312"/>
          <w:szCs w:val="32"/>
        </w:rPr>
      </w:pPr>
      <w:r>
        <w:rPr>
          <w:rFonts w:hint="eastAsia" w:ascii="仿宋_GB2312" w:hAnsi="仿宋_GB2312" w:cs="仿宋_GB2312"/>
          <w:szCs w:val="32"/>
        </w:rPr>
        <w:t>禁止携带物品清单表</w:t>
      </w:r>
    </w:p>
    <w:tbl>
      <w:tblPr>
        <w:tblStyle w:val="12"/>
        <w:tblW w:w="499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002"/>
        <w:gridCol w:w="4449"/>
        <w:gridCol w:w="3069"/>
      </w:tblGrid>
      <w:tr w14:paraId="5B26D40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588" w:type="pct"/>
            <w:tcBorders>
              <w:top w:val="single" w:color="auto" w:sz="4" w:space="0"/>
              <w:left w:val="single" w:color="auto" w:sz="4" w:space="0"/>
              <w:bottom w:val="single" w:color="auto" w:sz="4" w:space="0"/>
              <w:right w:val="single" w:color="auto" w:sz="4" w:space="0"/>
            </w:tcBorders>
            <w:vAlign w:val="center"/>
          </w:tcPr>
          <w:p w14:paraId="623071ED">
            <w:pPr>
              <w:pStyle w:val="6"/>
              <w:wordWrap w:val="0"/>
              <w:spacing w:line="0" w:lineRule="atLeast"/>
              <w:jc w:val="center"/>
              <w:rPr>
                <w:rFonts w:hint="eastAsia" w:ascii="仿宋_GB2312" w:hAnsi="仿宋_GB2312" w:cs="仿宋_GB2312"/>
                <w:b/>
                <w:bCs/>
                <w:sz w:val="24"/>
                <w:szCs w:val="24"/>
                <w:lang w:val="zh-CN"/>
              </w:rPr>
            </w:pPr>
            <w:r>
              <w:rPr>
                <w:rFonts w:hint="eastAsia" w:ascii="仿宋_GB2312" w:hAnsi="仿宋_GB2312" w:cs="仿宋_GB2312"/>
                <w:b/>
                <w:bCs/>
                <w:sz w:val="24"/>
                <w:szCs w:val="24"/>
                <w:lang w:val="zh-CN"/>
              </w:rPr>
              <w:t>序号</w:t>
            </w:r>
          </w:p>
        </w:tc>
        <w:tc>
          <w:tcPr>
            <w:tcW w:w="2610" w:type="pct"/>
            <w:tcBorders>
              <w:top w:val="single" w:color="auto" w:sz="4" w:space="0"/>
              <w:left w:val="single" w:color="auto" w:sz="4" w:space="0"/>
              <w:bottom w:val="single" w:color="auto" w:sz="4" w:space="0"/>
              <w:right w:val="single" w:color="auto" w:sz="4" w:space="0"/>
            </w:tcBorders>
            <w:vAlign w:val="center"/>
          </w:tcPr>
          <w:p w14:paraId="778F7007">
            <w:pPr>
              <w:pStyle w:val="6"/>
              <w:wordWrap w:val="0"/>
              <w:spacing w:line="0" w:lineRule="atLeast"/>
              <w:jc w:val="center"/>
              <w:rPr>
                <w:rFonts w:hint="eastAsia" w:ascii="仿宋_GB2312" w:hAnsi="仿宋_GB2312" w:cs="仿宋_GB2312"/>
                <w:b/>
                <w:bCs/>
                <w:sz w:val="24"/>
                <w:szCs w:val="24"/>
                <w:lang w:val="zh-CN"/>
              </w:rPr>
            </w:pPr>
            <w:r>
              <w:rPr>
                <w:rFonts w:hint="eastAsia" w:ascii="仿宋_GB2312" w:hAnsi="仿宋_GB2312" w:cs="仿宋_GB2312"/>
                <w:b/>
                <w:bCs/>
                <w:sz w:val="24"/>
                <w:szCs w:val="24"/>
              </w:rPr>
              <w:t>设备和材料名称</w:t>
            </w:r>
          </w:p>
        </w:tc>
        <w:tc>
          <w:tcPr>
            <w:tcW w:w="1800" w:type="pct"/>
            <w:tcBorders>
              <w:top w:val="single" w:color="auto" w:sz="4" w:space="0"/>
              <w:left w:val="single" w:color="auto" w:sz="4" w:space="0"/>
              <w:bottom w:val="single" w:color="auto" w:sz="4" w:space="0"/>
              <w:right w:val="single" w:color="auto" w:sz="4" w:space="0"/>
            </w:tcBorders>
            <w:vAlign w:val="center"/>
          </w:tcPr>
          <w:p w14:paraId="54C9C210">
            <w:pPr>
              <w:pStyle w:val="6"/>
              <w:wordWrap w:val="0"/>
              <w:spacing w:line="0" w:lineRule="atLeast"/>
              <w:jc w:val="center"/>
              <w:rPr>
                <w:rFonts w:hint="eastAsia" w:ascii="仿宋_GB2312" w:hAnsi="仿宋_GB2312" w:cs="仿宋_GB2312"/>
                <w:b/>
                <w:bCs/>
                <w:sz w:val="24"/>
                <w:szCs w:val="24"/>
                <w:lang w:val="zh-CN"/>
              </w:rPr>
            </w:pPr>
            <w:r>
              <w:rPr>
                <w:rFonts w:hint="eastAsia" w:ascii="仿宋_GB2312" w:hAnsi="仿宋_GB2312" w:cs="仿宋_GB2312"/>
                <w:b/>
                <w:bCs/>
                <w:sz w:val="24"/>
                <w:szCs w:val="24"/>
                <w:lang w:val="zh-CN"/>
              </w:rPr>
              <w:t>举例</w:t>
            </w:r>
          </w:p>
        </w:tc>
      </w:tr>
      <w:tr w14:paraId="6D2F12C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88" w:type="pct"/>
            <w:tcBorders>
              <w:top w:val="single" w:color="auto" w:sz="4" w:space="0"/>
              <w:left w:val="single" w:color="auto" w:sz="4" w:space="0"/>
              <w:bottom w:val="single" w:color="auto" w:sz="4" w:space="0"/>
              <w:right w:val="single" w:color="auto" w:sz="4" w:space="0"/>
            </w:tcBorders>
            <w:vAlign w:val="center"/>
          </w:tcPr>
          <w:p w14:paraId="7BA0DFD0">
            <w:pPr>
              <w:pStyle w:val="6"/>
              <w:wordWrap w:val="0"/>
              <w:spacing w:line="0" w:lineRule="atLeast"/>
              <w:jc w:val="center"/>
              <w:rPr>
                <w:rFonts w:hint="eastAsia" w:ascii="仿宋_GB2312" w:hAnsi="仿宋_GB2312" w:cs="仿宋_GB2312"/>
                <w:sz w:val="24"/>
                <w:szCs w:val="24"/>
                <w:lang w:val="zh-CN"/>
              </w:rPr>
            </w:pPr>
            <w:r>
              <w:rPr>
                <w:rFonts w:hint="eastAsia" w:ascii="仿宋_GB2312" w:hAnsi="仿宋_GB2312" w:cs="仿宋_GB2312"/>
                <w:sz w:val="24"/>
                <w:szCs w:val="24"/>
                <w:lang w:val="zh-CN"/>
              </w:rPr>
              <w:t>1</w:t>
            </w:r>
          </w:p>
        </w:tc>
        <w:tc>
          <w:tcPr>
            <w:tcW w:w="2610" w:type="pct"/>
            <w:tcBorders>
              <w:top w:val="single" w:color="auto" w:sz="4" w:space="0"/>
              <w:left w:val="single" w:color="auto" w:sz="4" w:space="0"/>
              <w:bottom w:val="single" w:color="auto" w:sz="4" w:space="0"/>
              <w:right w:val="single" w:color="auto" w:sz="4" w:space="0"/>
            </w:tcBorders>
            <w:vAlign w:val="center"/>
          </w:tcPr>
          <w:p w14:paraId="65B73582">
            <w:pPr>
              <w:pStyle w:val="6"/>
              <w:wordWrap w:val="0"/>
              <w:spacing w:line="0" w:lineRule="atLeast"/>
              <w:jc w:val="center"/>
              <w:rPr>
                <w:rFonts w:hint="eastAsia" w:ascii="仿宋_GB2312" w:hAnsi="仿宋_GB2312" w:cs="仿宋_GB2312"/>
                <w:sz w:val="24"/>
                <w:szCs w:val="24"/>
              </w:rPr>
            </w:pPr>
            <w:r>
              <w:rPr>
                <w:rFonts w:hint="eastAsia" w:ascii="仿宋_GB2312" w:hAnsi="仿宋_GB2312" w:cs="仿宋_GB2312"/>
                <w:sz w:val="24"/>
                <w:szCs w:val="24"/>
                <w:lang w:val="zh-CN"/>
              </w:rPr>
              <w:t>通讯设备</w:t>
            </w:r>
          </w:p>
        </w:tc>
        <w:tc>
          <w:tcPr>
            <w:tcW w:w="1800" w:type="pct"/>
            <w:tcBorders>
              <w:top w:val="single" w:color="auto" w:sz="4" w:space="0"/>
              <w:left w:val="single" w:color="auto" w:sz="4" w:space="0"/>
              <w:bottom w:val="single" w:color="auto" w:sz="4" w:space="0"/>
              <w:right w:val="single" w:color="auto" w:sz="4" w:space="0"/>
            </w:tcBorders>
            <w:vAlign w:val="center"/>
          </w:tcPr>
          <w:p w14:paraId="408C9B50">
            <w:pPr>
              <w:pStyle w:val="6"/>
              <w:wordWrap w:val="0"/>
              <w:spacing w:line="0" w:lineRule="atLeast"/>
              <w:jc w:val="center"/>
              <w:rPr>
                <w:rFonts w:hint="eastAsia" w:ascii="仿宋_GB2312" w:hAnsi="仿宋_GB2312" w:cs="仿宋_GB2312"/>
                <w:sz w:val="24"/>
                <w:szCs w:val="24"/>
                <w:lang w:val="zh-CN"/>
              </w:rPr>
            </w:pPr>
            <w:r>
              <w:rPr>
                <w:rFonts w:hint="eastAsia" w:ascii="仿宋_GB2312" w:hAnsi="仿宋_GB2312" w:cs="仿宋_GB2312"/>
                <w:sz w:val="24"/>
                <w:szCs w:val="24"/>
                <w:lang w:val="zh-CN"/>
              </w:rPr>
              <w:t>手机、电话手表等</w:t>
            </w:r>
          </w:p>
        </w:tc>
      </w:tr>
      <w:tr w14:paraId="6882141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88" w:type="pct"/>
            <w:tcBorders>
              <w:top w:val="single" w:color="auto" w:sz="4" w:space="0"/>
              <w:left w:val="single" w:color="auto" w:sz="4" w:space="0"/>
              <w:bottom w:val="single" w:color="auto" w:sz="4" w:space="0"/>
              <w:right w:val="single" w:color="auto" w:sz="4" w:space="0"/>
            </w:tcBorders>
            <w:vAlign w:val="center"/>
          </w:tcPr>
          <w:p w14:paraId="41F0E191">
            <w:pPr>
              <w:pStyle w:val="6"/>
              <w:wordWrap w:val="0"/>
              <w:spacing w:line="0" w:lineRule="atLeast"/>
              <w:jc w:val="center"/>
              <w:rPr>
                <w:rFonts w:hint="eastAsia" w:ascii="仿宋_GB2312" w:hAnsi="仿宋_GB2312" w:cs="仿宋_GB2312"/>
                <w:sz w:val="24"/>
                <w:szCs w:val="24"/>
                <w:lang w:val="zh-CN"/>
              </w:rPr>
            </w:pPr>
            <w:r>
              <w:rPr>
                <w:rFonts w:hint="eastAsia" w:ascii="仿宋_GB2312" w:hAnsi="仿宋_GB2312" w:cs="仿宋_GB2312"/>
                <w:sz w:val="24"/>
                <w:szCs w:val="24"/>
                <w:lang w:val="zh-CN"/>
              </w:rPr>
              <w:t>2</w:t>
            </w:r>
          </w:p>
        </w:tc>
        <w:tc>
          <w:tcPr>
            <w:tcW w:w="2610" w:type="pct"/>
            <w:tcBorders>
              <w:top w:val="single" w:color="auto" w:sz="4" w:space="0"/>
              <w:left w:val="single" w:color="auto" w:sz="4" w:space="0"/>
              <w:bottom w:val="single" w:color="auto" w:sz="4" w:space="0"/>
              <w:right w:val="single" w:color="auto" w:sz="4" w:space="0"/>
            </w:tcBorders>
            <w:vAlign w:val="center"/>
          </w:tcPr>
          <w:p w14:paraId="510A6033">
            <w:pPr>
              <w:pStyle w:val="6"/>
              <w:wordWrap w:val="0"/>
              <w:spacing w:line="0" w:lineRule="atLeast"/>
              <w:jc w:val="center"/>
              <w:rPr>
                <w:rFonts w:hint="eastAsia" w:ascii="仿宋_GB2312" w:hAnsi="仿宋_GB2312" w:cs="仿宋_GB2312"/>
                <w:sz w:val="24"/>
                <w:szCs w:val="24"/>
                <w:lang w:val="zh-CN"/>
              </w:rPr>
            </w:pPr>
            <w:r>
              <w:rPr>
                <w:rFonts w:hint="eastAsia" w:ascii="仿宋_GB2312" w:hAnsi="仿宋_GB2312" w:cs="仿宋_GB2312"/>
                <w:sz w:val="24"/>
                <w:szCs w:val="24"/>
                <w:lang w:val="zh-CN"/>
              </w:rPr>
              <w:t>移动存储设备、</w:t>
            </w:r>
            <w:r>
              <w:rPr>
                <w:rFonts w:hint="eastAsia" w:ascii="仿宋_GB2312" w:hAnsi="仿宋_GB2312" w:cs="仿宋_GB2312"/>
                <w:sz w:val="24"/>
                <w:szCs w:val="24"/>
              </w:rPr>
              <w:t>电子设备</w:t>
            </w:r>
          </w:p>
        </w:tc>
        <w:tc>
          <w:tcPr>
            <w:tcW w:w="1800" w:type="pct"/>
            <w:tcBorders>
              <w:top w:val="single" w:color="auto" w:sz="4" w:space="0"/>
              <w:left w:val="single" w:color="auto" w:sz="4" w:space="0"/>
              <w:bottom w:val="single" w:color="auto" w:sz="4" w:space="0"/>
              <w:right w:val="single" w:color="auto" w:sz="4" w:space="0"/>
            </w:tcBorders>
            <w:vAlign w:val="center"/>
          </w:tcPr>
          <w:p w14:paraId="16196D48">
            <w:pPr>
              <w:pStyle w:val="6"/>
              <w:wordWrap w:val="0"/>
              <w:spacing w:line="0" w:lineRule="atLeast"/>
              <w:jc w:val="center"/>
              <w:rPr>
                <w:rFonts w:hint="eastAsia" w:ascii="仿宋_GB2312" w:hAnsi="仿宋_GB2312" w:cs="仿宋_GB2312"/>
                <w:sz w:val="24"/>
                <w:szCs w:val="24"/>
                <w:lang w:val="zh-CN"/>
              </w:rPr>
            </w:pPr>
            <w:r>
              <w:rPr>
                <w:rFonts w:hint="eastAsia" w:ascii="仿宋_GB2312" w:hAnsi="仿宋_GB2312" w:cs="仿宋_GB2312"/>
                <w:sz w:val="24"/>
                <w:szCs w:val="24"/>
                <w:lang w:val="zh-CN"/>
              </w:rPr>
              <w:t>U盘、录音笔等</w:t>
            </w:r>
          </w:p>
        </w:tc>
      </w:tr>
      <w:tr w14:paraId="3D875C6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88" w:type="pct"/>
            <w:tcBorders>
              <w:top w:val="single" w:color="auto" w:sz="4" w:space="0"/>
              <w:left w:val="single" w:color="auto" w:sz="4" w:space="0"/>
              <w:bottom w:val="single" w:color="auto" w:sz="4" w:space="0"/>
              <w:right w:val="single" w:color="auto" w:sz="4" w:space="0"/>
            </w:tcBorders>
            <w:vAlign w:val="center"/>
          </w:tcPr>
          <w:p w14:paraId="61495AEB">
            <w:pPr>
              <w:pStyle w:val="6"/>
              <w:wordWrap w:val="0"/>
              <w:spacing w:line="0" w:lineRule="atLeast"/>
              <w:jc w:val="center"/>
              <w:rPr>
                <w:rFonts w:hint="eastAsia" w:ascii="仿宋_GB2312" w:hAnsi="仿宋_GB2312" w:cs="仿宋_GB2312"/>
                <w:sz w:val="24"/>
                <w:szCs w:val="24"/>
                <w:lang w:val="zh-CN"/>
              </w:rPr>
            </w:pPr>
            <w:r>
              <w:rPr>
                <w:rFonts w:hint="eastAsia" w:ascii="仿宋_GB2312" w:hAnsi="仿宋_GB2312" w:cs="仿宋_GB2312"/>
                <w:sz w:val="24"/>
                <w:szCs w:val="24"/>
                <w:lang w:val="zh-CN"/>
              </w:rPr>
              <w:t>3</w:t>
            </w:r>
          </w:p>
        </w:tc>
        <w:tc>
          <w:tcPr>
            <w:tcW w:w="2610" w:type="pct"/>
            <w:tcBorders>
              <w:top w:val="single" w:color="auto" w:sz="4" w:space="0"/>
              <w:left w:val="single" w:color="auto" w:sz="4" w:space="0"/>
              <w:bottom w:val="single" w:color="auto" w:sz="4" w:space="0"/>
              <w:right w:val="single" w:color="auto" w:sz="4" w:space="0"/>
            </w:tcBorders>
            <w:vAlign w:val="center"/>
          </w:tcPr>
          <w:p w14:paraId="5631DBC9">
            <w:pPr>
              <w:pStyle w:val="6"/>
              <w:wordWrap w:val="0"/>
              <w:spacing w:line="0" w:lineRule="atLeast"/>
              <w:jc w:val="center"/>
              <w:rPr>
                <w:rFonts w:hint="eastAsia" w:ascii="仿宋_GB2312" w:hAnsi="仿宋_GB2312" w:cs="仿宋_GB2312"/>
                <w:sz w:val="24"/>
                <w:szCs w:val="24"/>
                <w:lang w:val="zh-CN"/>
              </w:rPr>
            </w:pPr>
            <w:r>
              <w:rPr>
                <w:rFonts w:hint="eastAsia" w:ascii="仿宋_GB2312" w:hAnsi="仿宋_GB2312" w:cs="仿宋_GB2312"/>
                <w:sz w:val="24"/>
                <w:szCs w:val="24"/>
                <w:lang w:val="zh-CN"/>
              </w:rPr>
              <w:t>任何与竞赛内容相关的物品</w:t>
            </w:r>
          </w:p>
        </w:tc>
        <w:tc>
          <w:tcPr>
            <w:tcW w:w="1800" w:type="pct"/>
            <w:tcBorders>
              <w:top w:val="single" w:color="auto" w:sz="4" w:space="0"/>
              <w:left w:val="single" w:color="auto" w:sz="4" w:space="0"/>
              <w:bottom w:val="single" w:color="auto" w:sz="4" w:space="0"/>
              <w:right w:val="single" w:color="auto" w:sz="4" w:space="0"/>
            </w:tcBorders>
            <w:vAlign w:val="center"/>
          </w:tcPr>
          <w:p w14:paraId="51C995DF">
            <w:pPr>
              <w:pStyle w:val="6"/>
              <w:wordWrap w:val="0"/>
              <w:spacing w:line="0" w:lineRule="atLeast"/>
              <w:jc w:val="center"/>
              <w:rPr>
                <w:rFonts w:hint="eastAsia" w:ascii="仿宋_GB2312" w:hAnsi="仿宋_GB2312" w:cs="仿宋_GB2312"/>
                <w:sz w:val="24"/>
                <w:szCs w:val="24"/>
                <w:lang w:val="zh-CN"/>
              </w:rPr>
            </w:pPr>
            <w:r>
              <w:rPr>
                <w:rFonts w:hint="eastAsia" w:ascii="仿宋_GB2312" w:hAnsi="仿宋_GB2312" w:cs="仿宋_GB2312"/>
                <w:sz w:val="24"/>
                <w:szCs w:val="24"/>
                <w:lang w:val="zh-CN"/>
              </w:rPr>
              <w:t>复习资料、教材等</w:t>
            </w:r>
          </w:p>
        </w:tc>
      </w:tr>
    </w:tbl>
    <w:p w14:paraId="0CF0FE2A">
      <w:pPr>
        <w:pStyle w:val="9"/>
        <w:spacing w:line="580" w:lineRule="exact"/>
        <w:ind w:firstLine="600" w:firstLineChars="200"/>
        <w:outlineLvl w:val="0"/>
        <w:rPr>
          <w:rFonts w:ascii="Times New Roman" w:hAnsi="Times New Roman" w:eastAsia="黑体" w:cs="Times New Roman"/>
          <w:b w:val="0"/>
          <w:bCs/>
          <w:color w:val="auto"/>
          <w:sz w:val="32"/>
          <w:szCs w:val="32"/>
          <w:lang w:eastAsia="zh-CN"/>
        </w:rPr>
      </w:pPr>
      <w:r>
        <w:rPr>
          <w:rFonts w:ascii="Times New Roman" w:hAnsi="Times New Roman" w:eastAsia="黑体" w:cs="Times New Roman"/>
          <w:b w:val="0"/>
          <w:bCs/>
          <w:color w:val="auto"/>
          <w:sz w:val="32"/>
          <w:szCs w:val="32"/>
          <w:lang w:eastAsia="zh-CN"/>
        </w:rPr>
        <w:t>五、安全、健康要求</w:t>
      </w:r>
    </w:p>
    <w:p w14:paraId="145358D1">
      <w:pPr>
        <w:wordWrap w:val="0"/>
        <w:adjustRightInd w:val="0"/>
        <w:snapToGrid w:val="0"/>
        <w:spacing w:line="580" w:lineRule="exact"/>
        <w:ind w:firstLine="640" w:firstLineChars="200"/>
        <w:rPr>
          <w:rFonts w:hint="eastAsia" w:ascii="仿宋_GB2312" w:hAnsi="仿宋_GB2312" w:cs="仿宋_GB2312"/>
          <w:kern w:val="0"/>
          <w:szCs w:val="30"/>
        </w:rPr>
      </w:pPr>
      <w:r>
        <w:rPr>
          <w:rFonts w:hint="eastAsia" w:ascii="仿宋_GB2312" w:hAnsi="仿宋_GB2312" w:cs="仿宋_GB2312"/>
          <w:kern w:val="0"/>
          <w:szCs w:val="30"/>
        </w:rPr>
        <w:t>（一）赛场设医务室，配备医护人员，当选手或赛场其他人员发生身体不适时，进行医护处理。</w:t>
      </w:r>
    </w:p>
    <w:p w14:paraId="5C830F4F">
      <w:pPr>
        <w:wordWrap w:val="0"/>
        <w:adjustRightInd w:val="0"/>
        <w:snapToGrid w:val="0"/>
        <w:spacing w:line="580" w:lineRule="exact"/>
        <w:ind w:firstLine="640" w:firstLineChars="200"/>
        <w:rPr>
          <w:rFonts w:hint="eastAsia" w:ascii="仿宋_GB2312" w:hAnsi="仿宋_GB2312" w:cs="仿宋_GB2312"/>
          <w:kern w:val="0"/>
          <w:szCs w:val="30"/>
        </w:rPr>
      </w:pPr>
      <w:r>
        <w:rPr>
          <w:rFonts w:hint="eastAsia" w:ascii="仿宋_GB2312" w:hAnsi="仿宋_GB2312" w:cs="仿宋_GB2312"/>
          <w:kern w:val="0"/>
          <w:szCs w:val="30"/>
        </w:rPr>
        <w:t>（二）严格按照安全应急预案加强对竞赛全过程的动态管理，确保竞赛活动安全有序。</w:t>
      </w:r>
    </w:p>
    <w:p w14:paraId="2AEF2B2F">
      <w:pPr>
        <w:spacing w:line="580" w:lineRule="exact"/>
        <w:ind w:firstLine="640" w:firstLineChars="200"/>
        <w:rPr>
          <w:szCs w:val="32"/>
        </w:rPr>
      </w:pPr>
      <w:r>
        <w:rPr>
          <w:rFonts w:hint="eastAsia" w:ascii="仿宋_GB2312" w:hAnsi="仿宋_GB2312" w:cs="仿宋_GB2312"/>
          <w:kern w:val="0"/>
          <w:szCs w:val="30"/>
        </w:rPr>
        <w:t>（三）竞赛过程参赛选手能胜任全部竞赛操作体能要求，并且遵守赛场安全操作规程；对竞赛设施设备应爱护、保管，防止丢失和损坏；服从现场裁判的指挥，接受裁判员、现场技术服务人员的</w:t>
      </w:r>
      <w:bookmarkStart w:id="0" w:name="_GoBack"/>
      <w:bookmarkEnd w:id="0"/>
      <w:r>
        <w:rPr>
          <w:rFonts w:hint="eastAsia" w:ascii="仿宋_GB2312" w:hAnsi="仿宋_GB2312" w:cs="仿宋_GB2312"/>
          <w:kern w:val="0"/>
          <w:szCs w:val="30"/>
        </w:rPr>
        <w:t>监督和警示，保证操作过程中人身安全和设备安全。</w:t>
      </w:r>
    </w:p>
    <w:p w14:paraId="3458699D">
      <w:pPr>
        <w:pStyle w:val="17"/>
        <w:ind w:firstLine="640"/>
        <w:outlineLvl w:val="0"/>
        <w:rPr>
          <w:rFonts w:hint="eastAsia" w:ascii="黑体" w:hAnsi="黑体" w:eastAsia="黑体" w:cs="黑体"/>
          <w:b/>
          <w:color w:val="auto"/>
          <w:szCs w:val="32"/>
        </w:rPr>
      </w:pPr>
      <w:r>
        <w:rPr>
          <w:rFonts w:hint="eastAsia" w:ascii="黑体" w:hAnsi="黑体" w:eastAsia="黑体" w:cs="黑体"/>
          <w:color w:val="auto"/>
        </w:rPr>
        <w:t>六、本技术文件条款的最终解释权归</w:t>
      </w:r>
      <w:r>
        <w:rPr>
          <w:rFonts w:hint="eastAsia" w:ascii="黑体" w:hAnsi="黑体" w:eastAsia="黑体" w:cs="黑体"/>
          <w:color w:val="auto"/>
          <w:sz w:val="32"/>
          <w:szCs w:val="32"/>
          <w:lang w:val="en-US" w:eastAsia="zh-CN"/>
        </w:rPr>
        <w:t>深圳市宝安区人力资源局</w:t>
      </w:r>
      <w:r>
        <w:rPr>
          <w:rFonts w:hint="eastAsia" w:ascii="黑体" w:hAnsi="黑体" w:eastAsia="黑体" w:cs="黑体"/>
          <w:color w:val="auto"/>
        </w:rPr>
        <w:t>所有。</w:t>
      </w:r>
    </w:p>
    <w:sectPr>
      <w:footerReference r:id="rId3"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E7014B-4BBA-47C1-B5CB-D7537491CB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B3B9E40-5450-446F-8709-7F2CE4C63592}"/>
  </w:font>
  <w:font w:name="Inria Serif">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New Roman (Headings CS)">
    <w:altName w:val="Times New Roman"/>
    <w:panose1 w:val="00000000000000000000"/>
    <w:charset w:val="00"/>
    <w:family w:val="roman"/>
    <w:pitch w:val="default"/>
    <w:sig w:usb0="00000000" w:usb1="00000000" w:usb2="00000000" w:usb3="00000000" w:csb0="00000001" w:csb1="00000000"/>
  </w:font>
  <w:font w:name="Frutiger LT Com 45 Light">
    <w:altName w:val="Segoe Print"/>
    <w:panose1 w:val="00000000000000000000"/>
    <w:charset w:val="00"/>
    <w:family w:val="swiss"/>
    <w:pitch w:val="default"/>
    <w:sig w:usb0="00000000" w:usb1="00000000" w:usb2="00000000" w:usb3="00000000" w:csb0="00000001" w:csb1="00000000"/>
  </w:font>
  <w:font w:name="方正公文小标宋">
    <w:panose1 w:val="02000500000000000000"/>
    <w:charset w:val="86"/>
    <w:family w:val="auto"/>
    <w:pitch w:val="default"/>
    <w:sig w:usb0="A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3" w:fontKey="{34A1C86C-B2E8-4FE9-AD33-91DC9E5D2157}"/>
  </w:font>
  <w:font w:name="楷体_GB2312">
    <w:panose1 w:val="02010609030101010101"/>
    <w:charset w:val="86"/>
    <w:family w:val="auto"/>
    <w:pitch w:val="default"/>
    <w:sig w:usb0="00000001" w:usb1="080E0000" w:usb2="00000000" w:usb3="00000000" w:csb0="00040000" w:csb1="00000000"/>
    <w:embedRegular r:id="rId4" w:fontKey="{13BDFCF7-8FEE-43EE-9D51-8D78C033774F}"/>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E0960">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3D2EFF">
                          <w:pPr>
                            <w:pStyle w:val="7"/>
                            <w:rPr>
                              <w:rFonts w:hint="eastAsia" w:ascii="宋体" w:hAnsi="宋体" w:eastAsia="宋体" w:cs="宋体"/>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1</w:t>
                          </w:r>
                          <w:r>
                            <w:rPr>
                              <w:rFonts w:hint="eastAsia" w:ascii="宋体" w:hAnsi="宋体" w:eastAsia="宋体" w:cs="宋体"/>
                              <w:sz w:val="28"/>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YBnYyAgAAYw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dgGdjICAABjBAAADgAAAAAAAAABACAAAAAfAQAAZHJzL2Uyb0RvYy54bWxQSwUG&#10;AAAAAAYABgBZAQAAwwUAAAAA&#10;">
              <v:fill on="f" focussize="0,0"/>
              <v:stroke on="f" weight="0.5pt"/>
              <v:imagedata o:title=""/>
              <o:lock v:ext="edit" aspectratio="f"/>
              <v:textbox inset="0mm,0mm,0mm,0mm" style="mso-fit-shape-to-text:t;">
                <w:txbxContent>
                  <w:p w14:paraId="6E3D2EFF">
                    <w:pPr>
                      <w:pStyle w:val="7"/>
                      <w:rPr>
                        <w:rFonts w:hint="eastAsia" w:ascii="宋体" w:hAnsi="宋体" w:eastAsia="宋体" w:cs="宋体"/>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1</w:t>
                    </w:r>
                    <w:r>
                      <w:rPr>
                        <w:rFonts w:hint="eastAsia" w:ascii="宋体" w:hAnsi="宋体" w:eastAsia="宋体" w:cs="宋体"/>
                        <w:sz w:val="28"/>
                        <w:szCs w:val="4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3653D"/>
    <w:multiLevelType w:val="singleLevel"/>
    <w:tmpl w:val="8A03653D"/>
    <w:lvl w:ilvl="0" w:tentative="0">
      <w:start w:val="1"/>
      <w:numFmt w:val="decimal"/>
      <w:lvlText w:val="(%1)"/>
      <w:lvlJc w:val="left"/>
      <w:pPr>
        <w:ind w:left="425" w:hanging="425"/>
      </w:pPr>
      <w:rPr>
        <w:rFonts w:hint="default"/>
      </w:rPr>
    </w:lvl>
  </w:abstractNum>
  <w:abstractNum w:abstractNumId="1">
    <w:nsid w:val="9611C9E4"/>
    <w:multiLevelType w:val="singleLevel"/>
    <w:tmpl w:val="9611C9E4"/>
    <w:lvl w:ilvl="0" w:tentative="0">
      <w:start w:val="1"/>
      <w:numFmt w:val="decimal"/>
      <w:suff w:val="space"/>
      <w:lvlText w:val="%1."/>
      <w:lvlJc w:val="left"/>
    </w:lvl>
  </w:abstractNum>
  <w:abstractNum w:abstractNumId="2">
    <w:nsid w:val="C3FB43E3"/>
    <w:multiLevelType w:val="singleLevel"/>
    <w:tmpl w:val="C3FB43E3"/>
    <w:lvl w:ilvl="0" w:tentative="0">
      <w:start w:val="1"/>
      <w:numFmt w:val="decimal"/>
      <w:lvlText w:val="(%1)"/>
      <w:lvlJc w:val="left"/>
      <w:pPr>
        <w:ind w:left="425" w:hanging="425"/>
      </w:pPr>
      <w:rPr>
        <w:rFonts w:hint="default"/>
      </w:rPr>
    </w:lvl>
  </w:abstractNum>
  <w:abstractNum w:abstractNumId="3">
    <w:nsid w:val="C9FF9168"/>
    <w:multiLevelType w:val="singleLevel"/>
    <w:tmpl w:val="C9FF9168"/>
    <w:lvl w:ilvl="0" w:tentative="0">
      <w:start w:val="1"/>
      <w:numFmt w:val="decimal"/>
      <w:suff w:val="space"/>
      <w:lvlText w:val="%1."/>
      <w:lvlJc w:val="left"/>
    </w:lvl>
  </w:abstractNum>
  <w:abstractNum w:abstractNumId="4">
    <w:nsid w:val="00000003"/>
    <w:multiLevelType w:val="multilevel"/>
    <w:tmpl w:val="00000003"/>
    <w:lvl w:ilvl="0" w:tentative="0">
      <w:start w:val="4"/>
      <w:numFmt w:val="japaneseCounting"/>
      <w:pStyle w:val="19"/>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64AF2D0"/>
    <w:multiLevelType w:val="singleLevel"/>
    <w:tmpl w:val="064AF2D0"/>
    <w:lvl w:ilvl="0" w:tentative="0">
      <w:start w:val="1"/>
      <w:numFmt w:val="decimal"/>
      <w:suff w:val="space"/>
      <w:lvlText w:val="%1."/>
      <w:lvlJc w:val="left"/>
    </w:lvl>
  </w:abstractNum>
  <w:abstractNum w:abstractNumId="6">
    <w:nsid w:val="19C2B991"/>
    <w:multiLevelType w:val="singleLevel"/>
    <w:tmpl w:val="19C2B991"/>
    <w:lvl w:ilvl="0" w:tentative="0">
      <w:start w:val="1"/>
      <w:numFmt w:val="decimal"/>
      <w:lvlText w:val="(%1)"/>
      <w:lvlJc w:val="left"/>
      <w:pPr>
        <w:ind w:left="425" w:hanging="425"/>
      </w:pPr>
      <w:rPr>
        <w:rFonts w:hint="default"/>
      </w:rPr>
    </w:lvl>
  </w:abstractNum>
  <w:num w:numId="1">
    <w:abstractNumId w:val="4"/>
  </w:num>
  <w:num w:numId="2">
    <w:abstractNumId w:val="2"/>
  </w:num>
  <w:num w:numId="3">
    <w:abstractNumId w:val="6"/>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YTc3NWNkZjc1MjM1YzdhMDYxODYwYWMxY2Q2YjUifQ=="/>
  </w:docVars>
  <w:rsids>
    <w:rsidRoot w:val="67763C6D"/>
    <w:rsid w:val="000E4A7B"/>
    <w:rsid w:val="002629B9"/>
    <w:rsid w:val="003E0E88"/>
    <w:rsid w:val="005D3596"/>
    <w:rsid w:val="009B72CD"/>
    <w:rsid w:val="00CB04A1"/>
    <w:rsid w:val="00D026D3"/>
    <w:rsid w:val="00EA184F"/>
    <w:rsid w:val="01155431"/>
    <w:rsid w:val="031A5554"/>
    <w:rsid w:val="03C14648"/>
    <w:rsid w:val="04801084"/>
    <w:rsid w:val="04B21DC8"/>
    <w:rsid w:val="06D546AE"/>
    <w:rsid w:val="07B23486"/>
    <w:rsid w:val="097F55EA"/>
    <w:rsid w:val="0A894080"/>
    <w:rsid w:val="0CC021A1"/>
    <w:rsid w:val="0DB742A8"/>
    <w:rsid w:val="0F141D6A"/>
    <w:rsid w:val="0F8E2C8B"/>
    <w:rsid w:val="0FBE3179"/>
    <w:rsid w:val="0FE708DB"/>
    <w:rsid w:val="10686DD7"/>
    <w:rsid w:val="108A6AFD"/>
    <w:rsid w:val="10B247FF"/>
    <w:rsid w:val="115E3025"/>
    <w:rsid w:val="12307462"/>
    <w:rsid w:val="1461239A"/>
    <w:rsid w:val="14A423A8"/>
    <w:rsid w:val="1507268B"/>
    <w:rsid w:val="15392132"/>
    <w:rsid w:val="15D23CCD"/>
    <w:rsid w:val="16094704"/>
    <w:rsid w:val="169564C9"/>
    <w:rsid w:val="19DE0AF8"/>
    <w:rsid w:val="1A15027E"/>
    <w:rsid w:val="1A68116F"/>
    <w:rsid w:val="1ABA2925"/>
    <w:rsid w:val="1B3B75FE"/>
    <w:rsid w:val="1BBC0395"/>
    <w:rsid w:val="1D32799B"/>
    <w:rsid w:val="1D3369BF"/>
    <w:rsid w:val="1DD86EC2"/>
    <w:rsid w:val="1E485F8C"/>
    <w:rsid w:val="1F271F5F"/>
    <w:rsid w:val="1F9328E4"/>
    <w:rsid w:val="1F9D31FB"/>
    <w:rsid w:val="21CC3D6A"/>
    <w:rsid w:val="21D631B7"/>
    <w:rsid w:val="221A3D42"/>
    <w:rsid w:val="221C05B9"/>
    <w:rsid w:val="228D0920"/>
    <w:rsid w:val="249441E7"/>
    <w:rsid w:val="2526531C"/>
    <w:rsid w:val="253A0094"/>
    <w:rsid w:val="25E44CFA"/>
    <w:rsid w:val="26EC3A53"/>
    <w:rsid w:val="29291622"/>
    <w:rsid w:val="296F2DDD"/>
    <w:rsid w:val="299332F5"/>
    <w:rsid w:val="29D67109"/>
    <w:rsid w:val="2AFB4BDF"/>
    <w:rsid w:val="2BBE4201"/>
    <w:rsid w:val="2C2E47E1"/>
    <w:rsid w:val="2EFF514C"/>
    <w:rsid w:val="2F195A15"/>
    <w:rsid w:val="304401E5"/>
    <w:rsid w:val="30AF7782"/>
    <w:rsid w:val="30E74FBA"/>
    <w:rsid w:val="31493F90"/>
    <w:rsid w:val="32537490"/>
    <w:rsid w:val="332A4823"/>
    <w:rsid w:val="33AF4B9A"/>
    <w:rsid w:val="39167469"/>
    <w:rsid w:val="3B4C2F55"/>
    <w:rsid w:val="3DB11AD4"/>
    <w:rsid w:val="40D41422"/>
    <w:rsid w:val="41AE6491"/>
    <w:rsid w:val="42273AF9"/>
    <w:rsid w:val="425608D6"/>
    <w:rsid w:val="427C7112"/>
    <w:rsid w:val="43792ACE"/>
    <w:rsid w:val="44001328"/>
    <w:rsid w:val="4441079C"/>
    <w:rsid w:val="45482EE6"/>
    <w:rsid w:val="460A5E25"/>
    <w:rsid w:val="46204340"/>
    <w:rsid w:val="47003456"/>
    <w:rsid w:val="479A3013"/>
    <w:rsid w:val="48147089"/>
    <w:rsid w:val="482D1B49"/>
    <w:rsid w:val="48D545CD"/>
    <w:rsid w:val="4A0C644A"/>
    <w:rsid w:val="4A6209BE"/>
    <w:rsid w:val="4AC37362"/>
    <w:rsid w:val="4B405810"/>
    <w:rsid w:val="4C017B05"/>
    <w:rsid w:val="4CB2475D"/>
    <w:rsid w:val="4D467BE8"/>
    <w:rsid w:val="4DFC5AB2"/>
    <w:rsid w:val="4EA91822"/>
    <w:rsid w:val="4FFA40B0"/>
    <w:rsid w:val="51115575"/>
    <w:rsid w:val="519D54AE"/>
    <w:rsid w:val="51B3364F"/>
    <w:rsid w:val="524C5E76"/>
    <w:rsid w:val="52776D92"/>
    <w:rsid w:val="53C71CFD"/>
    <w:rsid w:val="53D92BFD"/>
    <w:rsid w:val="53E53868"/>
    <w:rsid w:val="54532EC1"/>
    <w:rsid w:val="552A49AF"/>
    <w:rsid w:val="563E372E"/>
    <w:rsid w:val="57243994"/>
    <w:rsid w:val="57723169"/>
    <w:rsid w:val="59D13F29"/>
    <w:rsid w:val="5ABB4C30"/>
    <w:rsid w:val="5BB932A5"/>
    <w:rsid w:val="5D7F516D"/>
    <w:rsid w:val="5F5D4BFA"/>
    <w:rsid w:val="5FE94095"/>
    <w:rsid w:val="5FFB3F05"/>
    <w:rsid w:val="60EF2052"/>
    <w:rsid w:val="622F7672"/>
    <w:rsid w:val="632334FE"/>
    <w:rsid w:val="63267BA3"/>
    <w:rsid w:val="63B3128D"/>
    <w:rsid w:val="64DF1320"/>
    <w:rsid w:val="65115374"/>
    <w:rsid w:val="65A25FC8"/>
    <w:rsid w:val="6712451C"/>
    <w:rsid w:val="67763C6D"/>
    <w:rsid w:val="67781B6D"/>
    <w:rsid w:val="69517604"/>
    <w:rsid w:val="69EF333E"/>
    <w:rsid w:val="6AA638F9"/>
    <w:rsid w:val="6BD4CE48"/>
    <w:rsid w:val="6CAF3B22"/>
    <w:rsid w:val="6CE028AE"/>
    <w:rsid w:val="6E3B0847"/>
    <w:rsid w:val="6EB43211"/>
    <w:rsid w:val="6F92269E"/>
    <w:rsid w:val="72985DFE"/>
    <w:rsid w:val="73FE6554"/>
    <w:rsid w:val="746E1871"/>
    <w:rsid w:val="758F276A"/>
    <w:rsid w:val="75B219BC"/>
    <w:rsid w:val="761D0C2F"/>
    <w:rsid w:val="76EB0173"/>
    <w:rsid w:val="79C8135C"/>
    <w:rsid w:val="7B5A0A3D"/>
    <w:rsid w:val="7C2A7B54"/>
    <w:rsid w:val="7C9C07BB"/>
    <w:rsid w:val="7CE475F8"/>
    <w:rsid w:val="7D973F1C"/>
    <w:rsid w:val="7E8F841C"/>
    <w:rsid w:val="7FDA6C33"/>
    <w:rsid w:val="9FB50CB5"/>
    <w:rsid w:val="BEFFDFED"/>
    <w:rsid w:val="BFAB2C74"/>
    <w:rsid w:val="BFFFD792"/>
    <w:rsid w:val="D5FF4B49"/>
    <w:rsid w:val="DFFE7663"/>
    <w:rsid w:val="E7532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index 5"/>
    <w:basedOn w:val="1"/>
    <w:next w:val="1"/>
    <w:qFormat/>
    <w:uiPriority w:val="0"/>
    <w:pPr>
      <w:ind w:left="1680"/>
    </w:pPr>
  </w:style>
  <w:style w:type="paragraph" w:styleId="4">
    <w:name w:val="annotation text"/>
    <w:basedOn w:val="1"/>
    <w:link w:val="24"/>
    <w:qFormat/>
    <w:uiPriority w:val="0"/>
    <w:pPr>
      <w:jc w:val="left"/>
    </w:pPr>
  </w:style>
  <w:style w:type="paragraph" w:styleId="5">
    <w:name w:val="Body Text"/>
    <w:basedOn w:val="1"/>
    <w:qFormat/>
    <w:uiPriority w:val="0"/>
    <w:rPr>
      <w:rFonts w:ascii="仿宋_GB2312" w:hAnsi="Calibri"/>
    </w:rPr>
  </w:style>
  <w:style w:type="paragraph" w:styleId="6">
    <w:name w:val="Plain Text"/>
    <w:basedOn w:val="1"/>
    <w:next w:val="2"/>
    <w:qFormat/>
    <w:uiPriority w:val="0"/>
    <w:rPr>
      <w:rFonts w:ascii="宋体" w:hAnsi="Courier New"/>
      <w:szCs w:val="20"/>
    </w:rPr>
  </w:style>
  <w:style w:type="paragraph" w:styleId="7">
    <w:name w:val="footer"/>
    <w:basedOn w:val="1"/>
    <w:next w:val="3"/>
    <w:qFormat/>
    <w:uiPriority w:val="99"/>
    <w:pPr>
      <w:tabs>
        <w:tab w:val="center" w:pos="4153"/>
        <w:tab w:val="right" w:pos="8306"/>
      </w:tabs>
      <w:overflowPunct w:val="0"/>
      <w:autoSpaceDE w:val="0"/>
      <w:autoSpaceDN w:val="0"/>
      <w:adjustRightInd w:val="0"/>
      <w:textAlignment w:val="baseline"/>
    </w:pPr>
    <w:rPr>
      <w:sz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itle"/>
    <w:basedOn w:val="1"/>
    <w:next w:val="1"/>
    <w:qFormat/>
    <w:uiPriority w:val="0"/>
    <w:pPr>
      <w:widowControl/>
      <w:spacing w:line="560" w:lineRule="exact"/>
      <w:contextualSpacing/>
    </w:pPr>
    <w:rPr>
      <w:rFonts w:ascii="Inria Serif" w:hAnsi="Inria Serif" w:eastAsia="宋体" w:cs="Times New Roman (Headings CS)"/>
      <w:b/>
      <w:color w:val="0084AD"/>
      <w:spacing w:val="-10"/>
      <w:kern w:val="28"/>
      <w:sz w:val="50"/>
      <w:szCs w:val="56"/>
      <w:lang w:val="en-AU" w:eastAsia="en-US"/>
    </w:rPr>
  </w:style>
  <w:style w:type="paragraph" w:styleId="10">
    <w:name w:val="annotation subject"/>
    <w:basedOn w:val="4"/>
    <w:next w:val="4"/>
    <w:link w:val="25"/>
    <w:qFormat/>
    <w:uiPriority w:val="0"/>
    <w:rPr>
      <w:b/>
      <w:bCs/>
    </w:rPr>
  </w:style>
  <w:style w:type="paragraph" w:styleId="11">
    <w:name w:val="Body Text First Indent"/>
    <w:basedOn w:val="5"/>
    <w:next w:val="1"/>
    <w:qFormat/>
    <w:uiPriority w:val="0"/>
    <w:pPr>
      <w:spacing w:line="560" w:lineRule="exact"/>
      <w:ind w:firstLine="721" w:firstLineChars="200"/>
    </w:pPr>
    <w:rPr>
      <w:rFonts w:ascii="Calibri"/>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qFormat/>
    <w:uiPriority w:val="0"/>
    <w:rPr>
      <w:color w:val="0000FF"/>
      <w:u w:val="single"/>
    </w:rPr>
  </w:style>
  <w:style w:type="character" w:styleId="16">
    <w:name w:val="annotation reference"/>
    <w:basedOn w:val="14"/>
    <w:qFormat/>
    <w:uiPriority w:val="0"/>
    <w:rPr>
      <w:sz w:val="21"/>
      <w:szCs w:val="21"/>
    </w:rPr>
  </w:style>
  <w:style w:type="paragraph" w:customStyle="1" w:styleId="17">
    <w:name w:val="_Style 1"/>
    <w:basedOn w:val="1"/>
    <w:next w:val="1"/>
    <w:qFormat/>
    <w:uiPriority w:val="99"/>
    <w:pPr>
      <w:spacing w:line="580" w:lineRule="exact"/>
      <w:ind w:firstLine="420" w:firstLineChars="200"/>
    </w:pPr>
    <w:rPr>
      <w:rFonts w:ascii="Calibri" w:hAnsi="Calibri" w:eastAsia="宋体"/>
    </w:rPr>
  </w:style>
  <w:style w:type="paragraph" w:customStyle="1" w:styleId="18">
    <w:name w:val="Editable table text"/>
    <w:basedOn w:val="1"/>
    <w:qFormat/>
    <w:uiPriority w:val="0"/>
    <w:pPr>
      <w:widowControl/>
    </w:pPr>
    <w:rPr>
      <w:rFonts w:ascii="Frutiger LT Com 45 Light" w:hAnsi="Frutiger LT Com 45 Light" w:eastAsia="宋体"/>
      <w:color w:val="62B5E5"/>
      <w:kern w:val="0"/>
      <w:sz w:val="20"/>
      <w:lang w:val="en-GB" w:eastAsia="en-US"/>
    </w:rPr>
  </w:style>
  <w:style w:type="paragraph" w:customStyle="1" w:styleId="19">
    <w:name w:val="Table Bullet"/>
    <w:basedOn w:val="1"/>
    <w:qFormat/>
    <w:uiPriority w:val="0"/>
    <w:pPr>
      <w:widowControl/>
      <w:numPr>
        <w:ilvl w:val="0"/>
        <w:numId w:val="1"/>
      </w:numPr>
      <w:spacing w:after="120"/>
      <w:ind w:left="284" w:hanging="284"/>
      <w:contextualSpacing/>
    </w:pPr>
    <w:rPr>
      <w:rFonts w:ascii="Frutiger LT Com 45 Light" w:hAnsi="Frutiger LT Com 45 Light" w:eastAsia="宋体"/>
      <w:kern w:val="0"/>
      <w:sz w:val="20"/>
      <w:szCs w:val="22"/>
      <w:lang w:val="en-GB" w:eastAsia="en-US"/>
    </w:rPr>
  </w:style>
  <w:style w:type="character" w:customStyle="1" w:styleId="20">
    <w:name w:val="Editable"/>
    <w:qFormat/>
    <w:uiPriority w:val="0"/>
    <w:rPr>
      <w:rFonts w:hint="default" w:ascii="Times New Roman" w:hAnsi="Times New Roman" w:eastAsia="宋体" w:cs="Times New Roman"/>
      <w:color w:val="62B5E5"/>
    </w:rPr>
  </w:style>
  <w:style w:type="paragraph" w:customStyle="1" w:styleId="21">
    <w:name w:val="页脚1"/>
    <w:basedOn w:val="1"/>
    <w:qFormat/>
    <w:uiPriority w:val="0"/>
    <w:pPr>
      <w:tabs>
        <w:tab w:val="center" w:pos="4153"/>
        <w:tab w:val="right" w:pos="8306"/>
      </w:tabs>
      <w:snapToGrid w:val="0"/>
      <w:jc w:val="left"/>
    </w:pPr>
    <w:rPr>
      <w:sz w:val="18"/>
      <w:szCs w:val="18"/>
    </w:rPr>
  </w:style>
  <w:style w:type="paragraph" w:customStyle="1" w:styleId="22">
    <w:name w:val="文档正文"/>
    <w:basedOn w:val="1"/>
    <w:qFormat/>
    <w:uiPriority w:val="0"/>
    <w:pPr>
      <w:spacing w:line="360" w:lineRule="auto"/>
    </w:pPr>
    <w:rPr>
      <w:rFonts w:cs="Arial"/>
      <w:bCs/>
    </w:rPr>
  </w:style>
  <w:style w:type="character" w:customStyle="1" w:styleId="23">
    <w:name w:val="font21"/>
    <w:basedOn w:val="14"/>
    <w:qFormat/>
    <w:uiPriority w:val="0"/>
    <w:rPr>
      <w:rFonts w:hint="eastAsia" w:ascii="仿宋_GB2312" w:eastAsia="仿宋_GB2312" w:cs="仿宋_GB2312"/>
      <w:color w:val="000000"/>
      <w:sz w:val="24"/>
      <w:szCs w:val="24"/>
      <w:u w:val="none"/>
    </w:rPr>
  </w:style>
  <w:style w:type="character" w:customStyle="1" w:styleId="24">
    <w:name w:val="批注文字 字符"/>
    <w:basedOn w:val="14"/>
    <w:link w:val="4"/>
    <w:qFormat/>
    <w:uiPriority w:val="0"/>
    <w:rPr>
      <w:rFonts w:eastAsia="仿宋_GB2312"/>
      <w:kern w:val="2"/>
      <w:sz w:val="32"/>
      <w:szCs w:val="24"/>
    </w:rPr>
  </w:style>
  <w:style w:type="character" w:customStyle="1" w:styleId="25">
    <w:name w:val="批注主题 字符"/>
    <w:basedOn w:val="24"/>
    <w:link w:val="10"/>
    <w:qFormat/>
    <w:uiPriority w:val="0"/>
    <w:rPr>
      <w:rFonts w:eastAsia="仿宋_GB2312"/>
      <w:b/>
      <w:bCs/>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261</Words>
  <Characters>271</Characters>
  <Lines>51</Lines>
  <Paragraphs>14</Paragraphs>
  <TotalTime>7</TotalTime>
  <ScaleCrop>false</ScaleCrop>
  <LinksUpToDate>false</LinksUpToDate>
  <CharactersWithSpaces>275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2023-04-21T22:15:00Z</dcterms:created>
  <dc:creator>ᴬⁿᵈ&amp;ᵃⁿᴰ⁸</dc:creator>
  <cp:lastModifiedBy>尚美</cp:lastModifiedBy>
  <cp:lastPrinted>2025-07-11T17:11:00Z</cp:lastPrinted>
  <dcterms:modified xsi:type="dcterms:W3CDTF">2025-09-15T09:36:10Z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6EC22B30942140C6BFA2A27FCDF51657_13</vt:lpwstr>
  </property>
  <property fmtid="{D5CDD505-2E9C-101B-9397-08002B2CF9AE}" pid="4" name="KSOTemplateDocerSaveRecord">
    <vt:lpwstr>eyJoZGlkIjoiMGE3MTU1MDk4NjAwNmFiOWE1YjFiNzBiOGE2Y2RiNDciLCJ1c2VySWQiOiIxNjE3NTgxMzg4In0=</vt:lpwstr>
  </property>
</Properties>
</file>