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contextualSpacing/>
        <w:jc w:val="center"/>
        <w:rPr>
          <w:rFonts w:hint="eastAsia" w:ascii="方正小标宋简体" w:hAnsi="方正小标宋简体" w:eastAsia="方正小标宋简体" w:cs="方正小标宋简体"/>
          <w:b w:val="0"/>
          <w:bCs/>
          <w:color w:val="000000"/>
          <w:kern w:val="0"/>
          <w:sz w:val="44"/>
          <w:szCs w:val="44"/>
          <w:lang w:eastAsia="zh-CN"/>
        </w:rPr>
      </w:pPr>
    </w:p>
    <w:p>
      <w:pPr>
        <w:spacing w:line="560" w:lineRule="exact"/>
        <w:contextualSpacing/>
        <w:jc w:val="center"/>
        <w:rPr>
          <w:rFonts w:hint="eastAsia" w:ascii="方正小标宋简体" w:hAnsi="方正小标宋简体" w:eastAsia="方正小标宋简体" w:cs="方正小标宋简体"/>
          <w:b w:val="0"/>
          <w:bCs/>
          <w:color w:val="000000"/>
          <w:kern w:val="0"/>
          <w:sz w:val="44"/>
          <w:szCs w:val="44"/>
          <w:lang w:eastAsia="zh-CN"/>
        </w:rPr>
      </w:pPr>
      <w:r>
        <w:rPr>
          <w:rFonts w:hint="eastAsia" w:ascii="方正小标宋简体" w:hAnsi="方正小标宋简体" w:eastAsia="方正小标宋简体" w:cs="方正小标宋简体"/>
          <w:b w:val="0"/>
          <w:bCs/>
          <w:color w:val="000000"/>
          <w:kern w:val="0"/>
          <w:sz w:val="44"/>
          <w:szCs w:val="44"/>
          <w:lang w:eastAsia="zh-CN"/>
        </w:rPr>
        <w:t>宝安灵巧手及微型驱动系统产业园重点产业</w:t>
      </w:r>
    </w:p>
    <w:p>
      <w:pPr>
        <w:spacing w:line="560" w:lineRule="exact"/>
        <w:contextualSpacing/>
        <w:jc w:val="center"/>
        <w:rPr>
          <w:lang w:eastAsia="zh-CN"/>
        </w:rPr>
      </w:pPr>
      <w:r>
        <w:rPr>
          <w:rFonts w:hint="eastAsia" w:ascii="方正小标宋简体" w:hAnsi="方正小标宋简体" w:eastAsia="方正小标宋简体" w:cs="方正小标宋简体"/>
          <w:b w:val="0"/>
          <w:bCs/>
          <w:color w:val="000000"/>
          <w:kern w:val="0"/>
          <w:sz w:val="44"/>
          <w:szCs w:val="44"/>
          <w:lang w:eastAsia="zh-CN"/>
        </w:rPr>
        <w:t>项目遴选方案（含竞买资格条件）</w:t>
      </w:r>
    </w:p>
    <w:p>
      <w:pPr>
        <w:pStyle w:val="8"/>
        <w:widowControl/>
        <w:shd w:val="clear" w:color="auto" w:fill="FFFFFF"/>
        <w:spacing w:line="560" w:lineRule="exact"/>
        <w:ind w:firstLine="640" w:firstLineChars="200"/>
        <w:jc w:val="both"/>
        <w:rPr>
          <w:rFonts w:ascii="仿宋_GB2312" w:eastAsia="仿宋_GB2312"/>
          <w:sz w:val="32"/>
          <w:szCs w:val="32"/>
          <w:lang w:bidi="ar"/>
        </w:rPr>
      </w:pPr>
    </w:p>
    <w:p>
      <w:pPr>
        <w:pStyle w:val="8"/>
        <w:widowControl/>
        <w:shd w:val="clear" w:color="auto" w:fill="FFFFFF"/>
        <w:spacing w:line="560" w:lineRule="exact"/>
        <w:ind w:firstLine="640" w:firstLineChars="200"/>
        <w:jc w:val="both"/>
        <w:rPr>
          <w:rFonts w:hint="default" w:ascii="仿宋_GB2312" w:eastAsia="仿宋_GB2312"/>
          <w:sz w:val="32"/>
          <w:szCs w:val="32"/>
          <w:lang w:bidi="ar"/>
        </w:rPr>
      </w:pPr>
      <w:r>
        <w:rPr>
          <w:rFonts w:ascii="仿宋_GB2312" w:eastAsia="仿宋_GB2312"/>
          <w:sz w:val="32"/>
          <w:szCs w:val="32"/>
          <w:lang w:bidi="ar"/>
        </w:rPr>
        <w:t>宝安灵巧手及微型驱动系统产业园项目</w:t>
      </w:r>
      <w:r>
        <w:rPr>
          <w:rFonts w:hint="default" w:ascii="仿宋_GB2312" w:eastAsia="仿宋_GB2312"/>
          <w:sz w:val="32"/>
          <w:szCs w:val="32"/>
          <w:lang w:bidi="ar"/>
        </w:rPr>
        <w:t>意向选址地位于深圳市宝安区</w:t>
      </w:r>
      <w:r>
        <w:rPr>
          <w:rFonts w:ascii="仿宋_GB2312" w:hAnsi="仿宋_GB2312" w:eastAsia="仿宋_GB2312" w:cs="仿宋_GB2312"/>
          <w:color w:val="000000"/>
          <w:sz w:val="32"/>
          <w:szCs w:val="32"/>
          <w:lang w:bidi="ar"/>
        </w:rPr>
        <w:t>新桥街道</w:t>
      </w:r>
      <w:r>
        <w:rPr>
          <w:rFonts w:hint="default" w:ascii="仿宋_GB2312" w:eastAsia="仿宋_GB2312"/>
          <w:sz w:val="32"/>
          <w:szCs w:val="32"/>
          <w:lang w:bidi="ar"/>
        </w:rPr>
        <w:t>。为解决重点产业项目用地需求</w:t>
      </w:r>
      <w:r>
        <w:rPr>
          <w:rFonts w:ascii="仿宋_GB2312" w:eastAsia="仿宋_GB2312"/>
          <w:sz w:val="32"/>
          <w:szCs w:val="32"/>
          <w:lang w:bidi="ar"/>
        </w:rPr>
        <w:t>，</w:t>
      </w:r>
      <w:r>
        <w:rPr>
          <w:rFonts w:hint="default" w:ascii="仿宋_GB2312" w:eastAsia="仿宋_GB2312"/>
          <w:sz w:val="32"/>
          <w:szCs w:val="32"/>
          <w:lang w:bidi="ar"/>
        </w:rPr>
        <w:t>根据</w:t>
      </w:r>
      <w:r>
        <w:rPr>
          <w:rFonts w:ascii="仿宋_GB2312" w:hAnsi="仿宋_GB2312" w:eastAsia="仿宋_GB2312" w:cs="仿宋_GB2312"/>
          <w:sz w:val="32"/>
          <w:szCs w:val="32"/>
        </w:rPr>
        <w:t>《深圳市工业及其他产业用地供应管理办法》（深府规〔2019〕4号）、《深圳市人民政府关于延长工业及其他产业用地供应管理办法有效期的通知》（深府规</w:t>
      </w:r>
      <w:r>
        <w:rPr>
          <w:rFonts w:ascii="仿宋_GB2312" w:hAnsi="仿宋_GB2312" w:eastAsia="仿宋_GB2312" w:cs="仿宋_GB2312"/>
          <w:sz w:val="32"/>
          <w:szCs w:val="32"/>
          <w:lang w:bidi="ar"/>
        </w:rPr>
        <w:t>〔2025〕1号）等相关规定，</w:t>
      </w:r>
      <w:r>
        <w:rPr>
          <w:rFonts w:hint="default" w:ascii="仿宋_GB2312" w:eastAsia="仿宋_GB2312"/>
          <w:sz w:val="32"/>
          <w:szCs w:val="32"/>
          <w:lang w:bidi="ar"/>
        </w:rPr>
        <w:t>结合宝安区产业发展布局规划，现就</w:t>
      </w:r>
      <w:r>
        <w:rPr>
          <w:rFonts w:ascii="仿宋_GB2312" w:eastAsia="仿宋_GB2312"/>
          <w:sz w:val="32"/>
          <w:szCs w:val="32"/>
          <w:lang w:bidi="ar"/>
        </w:rPr>
        <w:t>宝安灵巧手及微型驱动系统产业园项目</w:t>
      </w:r>
      <w:r>
        <w:rPr>
          <w:rFonts w:hint="default" w:ascii="仿宋_GB2312" w:eastAsia="仿宋_GB2312"/>
          <w:sz w:val="32"/>
          <w:szCs w:val="32"/>
          <w:lang w:bidi="ar"/>
        </w:rPr>
        <w:t>提出如下重点产业项目遴选方案：</w:t>
      </w:r>
    </w:p>
    <w:p>
      <w:pPr>
        <w:spacing w:line="560" w:lineRule="exact"/>
        <w:ind w:left="640"/>
        <w:jc w:val="both"/>
        <w:rPr>
          <w:rFonts w:ascii="黑体" w:hAnsi="黑体" w:eastAsia="黑体" w:cs="黑体"/>
          <w:sz w:val="32"/>
          <w:szCs w:val="32"/>
          <w:lang w:eastAsia="zh-CN"/>
        </w:rPr>
      </w:pPr>
      <w:r>
        <w:rPr>
          <w:rFonts w:hint="eastAsia" w:ascii="黑体" w:hAnsi="黑体" w:eastAsia="黑体" w:cs="黑体"/>
          <w:sz w:val="32"/>
          <w:szCs w:val="32"/>
          <w:lang w:eastAsia="zh-CN"/>
        </w:rPr>
        <w:t>一、项目名称</w:t>
      </w:r>
    </w:p>
    <w:p>
      <w:pPr>
        <w:spacing w:line="560" w:lineRule="exact"/>
        <w:ind w:firstLine="640" w:firstLineChars="200"/>
        <w:jc w:val="both"/>
        <w:rPr>
          <w:rFonts w:hint="eastAsia" w:ascii="仿宋_GB2312" w:hAnsi="宋体" w:eastAsia="仿宋_GB2312"/>
          <w:sz w:val="32"/>
          <w:szCs w:val="32"/>
          <w:lang w:eastAsia="zh-CN" w:bidi="ar"/>
        </w:rPr>
      </w:pPr>
      <w:r>
        <w:rPr>
          <w:rFonts w:hint="eastAsia" w:ascii="仿宋_GB2312" w:hAnsi="宋体" w:eastAsia="仿宋_GB2312"/>
          <w:sz w:val="32"/>
          <w:szCs w:val="32"/>
          <w:lang w:eastAsia="zh-CN" w:bidi="ar"/>
        </w:rPr>
        <w:t>宝安灵巧手及微型驱动系统产业园</w:t>
      </w:r>
    </w:p>
    <w:p>
      <w:pPr>
        <w:spacing w:line="560" w:lineRule="exact"/>
        <w:ind w:firstLine="640" w:firstLineChars="200"/>
        <w:jc w:val="both"/>
        <w:rPr>
          <w:rFonts w:hint="eastAsia" w:ascii="黑体" w:hAnsi="黑体" w:eastAsia="黑体" w:cs="黑体"/>
          <w:sz w:val="32"/>
          <w:szCs w:val="32"/>
          <w:lang w:eastAsia="zh-CN"/>
        </w:rPr>
      </w:pPr>
      <w:r>
        <w:rPr>
          <w:rFonts w:hint="eastAsia" w:ascii="方正黑体_GBK" w:hAnsi="方正黑体_GBK" w:eastAsia="方正黑体_GBK" w:cs="方正黑体_GBK"/>
          <w:sz w:val="32"/>
          <w:szCs w:val="32"/>
          <w:lang w:eastAsia="zh-CN"/>
        </w:rPr>
        <w:t>二、</w:t>
      </w:r>
      <w:r>
        <w:rPr>
          <w:rFonts w:hint="eastAsia" w:ascii="黑体" w:hAnsi="黑体" w:eastAsia="黑体" w:cs="黑体"/>
          <w:sz w:val="32"/>
          <w:szCs w:val="32"/>
          <w:lang w:eastAsia="zh-CN"/>
        </w:rPr>
        <w:t>意向用地单位</w:t>
      </w:r>
    </w:p>
    <w:p>
      <w:pPr>
        <w:spacing w:line="560" w:lineRule="exact"/>
        <w:ind w:firstLine="640" w:firstLineChars="200"/>
        <w:jc w:val="both"/>
        <w:rPr>
          <w:rFonts w:ascii="仿宋_GB2312" w:hAnsi="宋体" w:eastAsia="仿宋_GB2312"/>
          <w:sz w:val="32"/>
          <w:szCs w:val="32"/>
          <w:lang w:eastAsia="zh-CN" w:bidi="ar"/>
        </w:rPr>
      </w:pPr>
      <w:r>
        <w:rPr>
          <w:rFonts w:ascii="仿宋_GB2312" w:hAnsi="宋体" w:eastAsia="仿宋_GB2312"/>
          <w:sz w:val="32"/>
          <w:szCs w:val="32"/>
          <w:lang w:eastAsia="zh-CN" w:bidi="ar"/>
        </w:rPr>
        <w:t>深圳市</w:t>
      </w:r>
      <w:r>
        <w:rPr>
          <w:rFonts w:hint="eastAsia" w:ascii="仿宋_GB2312" w:hAnsi="宋体" w:eastAsia="仿宋_GB2312"/>
          <w:sz w:val="32"/>
          <w:szCs w:val="32"/>
          <w:lang w:eastAsia="zh-CN" w:bidi="ar"/>
        </w:rPr>
        <w:t>兆威机电</w:t>
      </w:r>
      <w:r>
        <w:rPr>
          <w:rFonts w:ascii="仿宋_GB2312" w:hAnsi="宋体" w:eastAsia="仿宋_GB2312"/>
          <w:sz w:val="32"/>
          <w:szCs w:val="32"/>
          <w:lang w:eastAsia="zh-CN" w:bidi="ar"/>
        </w:rPr>
        <w:t>股份有限公司</w:t>
      </w:r>
    </w:p>
    <w:p>
      <w:pPr>
        <w:spacing w:line="560" w:lineRule="exact"/>
        <w:ind w:firstLine="640" w:firstLineChars="200"/>
        <w:jc w:val="both"/>
        <w:rPr>
          <w:rFonts w:hint="eastAsia" w:ascii="黑体" w:hAnsi="黑体" w:eastAsia="黑体" w:cs="黑体"/>
          <w:sz w:val="32"/>
          <w:szCs w:val="32"/>
          <w:lang w:eastAsia="zh-CN"/>
        </w:rPr>
      </w:pPr>
      <w:r>
        <w:rPr>
          <w:rFonts w:hint="eastAsia" w:ascii="方正黑体_GBK" w:hAnsi="方正黑体_GBK" w:eastAsia="方正黑体_GBK" w:cs="方正黑体_GBK"/>
          <w:sz w:val="32"/>
          <w:szCs w:val="32"/>
          <w:lang w:eastAsia="zh-CN"/>
        </w:rPr>
        <w:t>三、</w:t>
      </w:r>
      <w:r>
        <w:rPr>
          <w:rFonts w:hint="eastAsia" w:ascii="黑体" w:hAnsi="黑体" w:eastAsia="黑体" w:cs="黑体"/>
          <w:sz w:val="32"/>
          <w:szCs w:val="32"/>
          <w:lang w:eastAsia="zh-CN"/>
        </w:rPr>
        <w:t>项目必要性和可行性研究</w:t>
      </w:r>
    </w:p>
    <w:p>
      <w:pPr>
        <w:spacing w:line="560" w:lineRule="exact"/>
        <w:ind w:firstLine="642" w:firstLineChars="200"/>
        <w:jc w:val="both"/>
        <w:rPr>
          <w:rFonts w:hint="eastAsia" w:ascii="仿宋_GB2312" w:hAnsi="仿宋_GB2312" w:eastAsia="仿宋_GB2312" w:cs="仿宋_GB2312"/>
          <w:b/>
          <w:bCs/>
          <w:sz w:val="32"/>
          <w:szCs w:val="32"/>
          <w:lang w:eastAsia="zh-CN" w:bidi="ar"/>
        </w:rPr>
      </w:pPr>
      <w:r>
        <w:rPr>
          <w:rFonts w:hint="eastAsia" w:ascii="楷体" w:hAnsi="楷体" w:eastAsia="楷体" w:cs="楷体"/>
          <w:b/>
          <w:bCs/>
          <w:sz w:val="32"/>
          <w:szCs w:val="32"/>
          <w:lang w:eastAsia="zh-CN"/>
        </w:rPr>
        <w:t>（一）必要性：</w:t>
      </w:r>
    </w:p>
    <w:p>
      <w:pPr>
        <w:spacing w:line="560" w:lineRule="exact"/>
        <w:ind w:firstLine="642"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一是</w:t>
      </w:r>
      <w:r>
        <w:rPr>
          <w:rFonts w:hint="eastAsia" w:ascii="仿宋_GB2312" w:hAnsi="仿宋_GB2312" w:eastAsia="仿宋_GB2312" w:cs="仿宋_GB2312"/>
          <w:sz w:val="32"/>
          <w:szCs w:val="32"/>
        </w:rPr>
        <w:t>本项目高度符合国家</w:t>
      </w:r>
      <w:r>
        <w:rPr>
          <w:rFonts w:hint="eastAsia" w:ascii="仿宋_GB2312" w:hAnsi="仿宋_GB2312" w:eastAsia="仿宋_GB2312" w:cs="仿宋_GB2312"/>
          <w:sz w:val="32"/>
          <w:szCs w:val="32"/>
          <w:lang w:eastAsia="zh-CN"/>
        </w:rPr>
        <w:t>及深圳市</w:t>
      </w:r>
      <w:r>
        <w:rPr>
          <w:rFonts w:hint="eastAsia" w:ascii="仿宋_GB2312" w:hAnsi="仿宋_GB2312" w:eastAsia="仿宋_GB2312" w:cs="仿宋_GB2312"/>
          <w:sz w:val="32"/>
          <w:szCs w:val="32"/>
        </w:rPr>
        <w:t>关于发展战略性新兴产业的指导精神，能有效推动制造业高质量发展，为宝安区的“四梁八柱”</w:t>
      </w:r>
      <w:r>
        <w:rPr>
          <w:rFonts w:hint="eastAsia" w:ascii="仿宋_GB2312" w:hAnsi="仿宋_GB2312" w:eastAsia="仿宋_GB2312" w:cs="仿宋_GB2312"/>
          <w:sz w:val="32"/>
          <w:szCs w:val="32"/>
          <w:lang w:eastAsia="zh-CN"/>
        </w:rPr>
        <w:t>现代化</w:t>
      </w:r>
      <w:r>
        <w:rPr>
          <w:rFonts w:hint="eastAsia" w:ascii="仿宋_GB2312" w:hAnsi="仿宋_GB2312" w:eastAsia="仿宋_GB2312" w:cs="仿宋_GB2312"/>
          <w:sz w:val="32"/>
          <w:szCs w:val="32"/>
        </w:rPr>
        <w:t>产业体系规划布局创造有利条件。</w:t>
      </w:r>
      <w:r>
        <w:rPr>
          <w:rFonts w:hint="eastAsia" w:ascii="仿宋_GB2312" w:hAnsi="仿宋_GB2312" w:eastAsia="仿宋_GB2312" w:cs="仿宋_GB2312"/>
          <w:sz w:val="32"/>
          <w:szCs w:val="32"/>
          <w:lang w:eastAsia="zh-CN" w:bidi="ar"/>
        </w:rPr>
        <w:t>项目的落地将精准对接片区发展定位，</w:t>
      </w:r>
      <w:bookmarkStart w:id="0" w:name="_GoBack"/>
      <w:bookmarkEnd w:id="0"/>
      <w:r>
        <w:rPr>
          <w:rFonts w:hint="eastAsia" w:ascii="仿宋_GB2312" w:hAnsi="仿宋_GB2312" w:eastAsia="仿宋_GB2312" w:cs="仿宋_GB2312"/>
          <w:sz w:val="32"/>
          <w:szCs w:val="32"/>
          <w:lang w:eastAsia="zh-CN"/>
        </w:rPr>
        <w:t>有利于推动宝安区优化产业空间布局、推动战略性新兴产业融合集群发展。</w:t>
      </w:r>
    </w:p>
    <w:p>
      <w:pPr>
        <w:spacing w:line="560" w:lineRule="exact"/>
        <w:ind w:firstLine="642" w:firstLineChars="200"/>
        <w:jc w:val="both"/>
        <w:rPr>
          <w:rFonts w:ascii="仿宋_GB2312" w:hAnsi="仿宋_GB2312" w:eastAsia="仿宋_GB2312" w:cs="仿宋_GB2312"/>
          <w:sz w:val="32"/>
          <w:szCs w:val="32"/>
          <w:lang w:bidi="ar"/>
        </w:rPr>
      </w:pPr>
      <w:r>
        <w:rPr>
          <w:rFonts w:hint="eastAsia" w:ascii="仿宋_GB2312" w:hAnsi="仿宋_GB2312" w:eastAsia="仿宋_GB2312" w:cs="仿宋_GB2312"/>
          <w:b/>
          <w:bCs/>
          <w:sz w:val="32"/>
          <w:szCs w:val="32"/>
          <w:lang w:bidi="ar"/>
        </w:rPr>
        <w:t>二是</w:t>
      </w:r>
      <w:r>
        <w:rPr>
          <w:rFonts w:hint="eastAsia" w:ascii="仿宋_GB2312" w:hAnsi="仿宋_GB2312" w:eastAsia="仿宋_GB2312" w:cs="仿宋_GB2312"/>
          <w:sz w:val="32"/>
          <w:szCs w:val="32"/>
          <w:lang w:bidi="ar"/>
        </w:rPr>
        <w:t>意向用地单位作为智能</w:t>
      </w:r>
      <w:r>
        <w:rPr>
          <w:rFonts w:hint="eastAsia" w:ascii="仿宋_GB2312" w:hAnsi="仿宋_GB2312" w:eastAsia="仿宋_GB2312" w:cs="仿宋_GB2312"/>
          <w:sz w:val="32"/>
          <w:szCs w:val="32"/>
          <w:lang w:eastAsia="zh-CN" w:bidi="ar"/>
        </w:rPr>
        <w:t>制造</w:t>
      </w:r>
      <w:r>
        <w:rPr>
          <w:rFonts w:hint="eastAsia" w:ascii="仿宋_GB2312" w:hAnsi="仿宋_GB2312" w:eastAsia="仿宋_GB2312" w:cs="仿宋_GB2312"/>
          <w:sz w:val="32"/>
          <w:szCs w:val="32"/>
          <w:lang w:bidi="ar"/>
        </w:rPr>
        <w:t>装备领域的头部企业，通过本项目的实施，将显著提升宝安区智能装备、</w:t>
      </w:r>
      <w:r>
        <w:rPr>
          <w:rFonts w:hint="eastAsia" w:ascii="仿宋_GB2312" w:hAnsi="仿宋_GB2312" w:eastAsia="仿宋_GB2312" w:cs="仿宋_GB2312"/>
          <w:sz w:val="32"/>
          <w:szCs w:val="32"/>
          <w:lang w:eastAsia="zh-CN" w:bidi="ar"/>
        </w:rPr>
        <w:t>智能机器人</w:t>
      </w:r>
      <w:r>
        <w:rPr>
          <w:rFonts w:hint="eastAsia" w:ascii="仿宋_GB2312" w:hAnsi="仿宋_GB2312" w:eastAsia="仿宋_GB2312" w:cs="仿宋_GB2312"/>
          <w:sz w:val="32"/>
          <w:szCs w:val="32"/>
          <w:lang w:bidi="ar"/>
        </w:rPr>
        <w:t>领域的研发能力和技术水平，实现产业链“强链”作用，进一步巩固和提升宝安区在智能制造装备和</w:t>
      </w:r>
      <w:r>
        <w:rPr>
          <w:rFonts w:hint="eastAsia" w:ascii="仿宋_GB2312" w:hAnsi="仿宋_GB2312" w:eastAsia="仿宋_GB2312" w:cs="仿宋_GB2312"/>
          <w:sz w:val="32"/>
          <w:szCs w:val="32"/>
          <w:lang w:eastAsia="zh-CN" w:bidi="ar"/>
        </w:rPr>
        <w:t>智能机器人</w:t>
      </w:r>
      <w:r>
        <w:rPr>
          <w:rFonts w:hint="eastAsia" w:ascii="仿宋_GB2312" w:hAnsi="仿宋_GB2312" w:eastAsia="仿宋_GB2312" w:cs="仿宋_GB2312"/>
          <w:sz w:val="32"/>
          <w:szCs w:val="32"/>
          <w:lang w:bidi="ar"/>
        </w:rPr>
        <w:t>领域的竞争优势和行业地位。</w:t>
      </w:r>
    </w:p>
    <w:p>
      <w:pPr>
        <w:spacing w:line="560" w:lineRule="exact"/>
        <w:ind w:firstLine="641"/>
        <w:jc w:val="both"/>
        <w:rPr>
          <w:rFonts w:ascii="仿宋_GB2312" w:hAnsi="仿宋_GB2312" w:eastAsia="仿宋_GB2312" w:cs="仿宋_GB2312"/>
          <w:b/>
          <w:bCs/>
          <w:sz w:val="32"/>
          <w:szCs w:val="32"/>
          <w:lang w:bidi="ar"/>
        </w:rPr>
      </w:pPr>
      <w:r>
        <w:rPr>
          <w:rFonts w:hint="eastAsia" w:ascii="仿宋_GB2312" w:hAnsi="仿宋_GB2312" w:eastAsia="仿宋_GB2312" w:cs="仿宋_GB2312"/>
          <w:b/>
          <w:bCs/>
          <w:sz w:val="32"/>
          <w:szCs w:val="32"/>
          <w:lang w:bidi="ar"/>
        </w:rPr>
        <w:t>三是</w:t>
      </w:r>
      <w:r>
        <w:rPr>
          <w:rFonts w:hint="eastAsia" w:ascii="仿宋_GB2312" w:hAnsi="仿宋_GB2312" w:eastAsia="仿宋_GB2312" w:cs="仿宋_GB2312"/>
          <w:sz w:val="32"/>
          <w:szCs w:val="32"/>
          <w:lang w:bidi="ar"/>
        </w:rPr>
        <w:t>意向用地单位产能利用率长期处于饱和状态，现有产业空间已充分利用且无拓展空间，影响企业现有业务的增长及新兴市场开拓，亟需获取建设一定规模的自有园区承载企业智能化升级改造</w:t>
      </w:r>
      <w:r>
        <w:rPr>
          <w:rFonts w:hint="eastAsia" w:ascii="仿宋_GB2312" w:hAnsi="仿宋_GB2312" w:eastAsia="仿宋_GB2312" w:cs="仿宋_GB2312"/>
          <w:sz w:val="32"/>
          <w:szCs w:val="32"/>
          <w:lang w:eastAsia="zh-CN" w:bidi="ar"/>
        </w:rPr>
        <w:t>、</w:t>
      </w:r>
      <w:r>
        <w:rPr>
          <w:rFonts w:hint="eastAsia" w:ascii="仿宋_GB2312" w:hAnsi="仿宋_GB2312" w:eastAsia="仿宋_GB2312" w:cs="仿宋_GB2312"/>
          <w:sz w:val="32"/>
          <w:szCs w:val="32"/>
          <w:lang w:bidi="ar"/>
        </w:rPr>
        <w:t>实现战略目标等需求。</w:t>
      </w:r>
    </w:p>
    <w:p>
      <w:pPr>
        <w:spacing w:line="560" w:lineRule="exact"/>
        <w:ind w:firstLine="643"/>
        <w:jc w:val="both"/>
        <w:rPr>
          <w:rFonts w:hint="eastAsia" w:ascii="仿宋_GB2312" w:hAnsi="仿宋_GB2312" w:eastAsia="仿宋_GB2312" w:cs="仿宋_GB2312"/>
          <w:b/>
          <w:bCs/>
          <w:sz w:val="32"/>
          <w:szCs w:val="32"/>
          <w:lang w:eastAsia="zh-CN" w:bidi="ar"/>
        </w:rPr>
      </w:pPr>
      <w:r>
        <w:rPr>
          <w:rFonts w:hint="eastAsia" w:ascii="楷体" w:hAnsi="楷体" w:eastAsia="楷体" w:cs="楷体"/>
          <w:b/>
          <w:bCs/>
          <w:sz w:val="32"/>
          <w:szCs w:val="32"/>
          <w:lang w:eastAsia="zh-CN"/>
        </w:rPr>
        <w:t>（二）可行性：</w:t>
      </w:r>
    </w:p>
    <w:p>
      <w:pPr>
        <w:spacing w:line="580" w:lineRule="exact"/>
        <w:ind w:firstLine="642"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w:t>
      </w:r>
      <w:r>
        <w:rPr>
          <w:rFonts w:hint="eastAsia" w:ascii="仿宋_GB2312" w:hAnsi="仿宋_GB2312" w:eastAsia="仿宋_GB2312" w:cs="仿宋_GB2312"/>
          <w:b/>
          <w:bCs/>
          <w:sz w:val="32"/>
          <w:szCs w:val="32"/>
          <w:lang w:eastAsia="zh-CN"/>
        </w:rPr>
        <w:t>市场可行性：</w:t>
      </w:r>
      <w:r>
        <w:rPr>
          <w:rFonts w:hint="eastAsia" w:ascii="仿宋_GB2312" w:hAnsi="仿宋_GB2312" w:eastAsia="仿宋_GB2312" w:cs="仿宋_GB2312"/>
          <w:sz w:val="32"/>
          <w:szCs w:val="32"/>
        </w:rPr>
        <w:t>微型驱动解决方案作为工业四基中的核心组成部分，</w:t>
      </w:r>
      <w:r>
        <w:rPr>
          <w:rFonts w:hint="eastAsia" w:ascii="仿宋_GB2312" w:hAnsi="仿宋_GB2312" w:eastAsia="仿宋_GB2312" w:cs="仿宋_GB2312"/>
          <w:sz w:val="32"/>
          <w:szCs w:val="32"/>
          <w:lang w:eastAsia="zh-CN"/>
        </w:rPr>
        <w:t>其</w:t>
      </w:r>
      <w:r>
        <w:rPr>
          <w:rFonts w:hint="eastAsia" w:ascii="仿宋_GB2312" w:hAnsi="仿宋_GB2312" w:eastAsia="仿宋_GB2312" w:cs="仿宋_GB2312"/>
          <w:sz w:val="32"/>
          <w:szCs w:val="32"/>
        </w:rPr>
        <w:t>市场发展与全球自动化水平提升、前沿技术突破以及多元化应用场景的扩展紧密相连。</w:t>
      </w:r>
      <w:r>
        <w:rPr>
          <w:rFonts w:hint="eastAsia" w:ascii="仿宋_GB2312" w:hAnsi="仿宋_GB2312" w:eastAsia="仿宋_GB2312" w:cs="仿宋_GB2312"/>
          <w:sz w:val="32"/>
          <w:szCs w:val="32"/>
          <w:lang w:eastAsia="zh-CN"/>
        </w:rPr>
        <w:t>意向用地单位</w:t>
      </w:r>
      <w:r>
        <w:rPr>
          <w:rFonts w:hint="eastAsia" w:ascii="仿宋_GB2312" w:hAnsi="仿宋_GB2312" w:eastAsia="仿宋_GB2312" w:cs="仿宋_GB2312"/>
          <w:sz w:val="32"/>
          <w:szCs w:val="32"/>
        </w:rPr>
        <w:t>作为汽车电子、医疗器械、消费电子、机器人、工业装备</w:t>
      </w:r>
      <w:r>
        <w:rPr>
          <w:rFonts w:hint="eastAsia" w:ascii="仿宋_GB2312" w:hAnsi="仿宋_GB2312" w:eastAsia="仿宋_GB2312" w:cs="仿宋_GB2312"/>
          <w:sz w:val="32"/>
          <w:szCs w:val="32"/>
          <w:lang w:eastAsia="zh-CN"/>
        </w:rPr>
        <w:t>领域</w:t>
      </w:r>
      <w:r>
        <w:rPr>
          <w:rFonts w:hint="eastAsia" w:ascii="仿宋_GB2312" w:hAnsi="仿宋_GB2312" w:eastAsia="仿宋_GB2312" w:cs="仿宋_GB2312"/>
          <w:sz w:val="32"/>
          <w:szCs w:val="32"/>
        </w:rPr>
        <w:t>的核心供应商，主营业务市场前景广阔，将保持高速发展态势。</w:t>
      </w:r>
    </w:p>
    <w:p>
      <w:pPr>
        <w:spacing w:line="580" w:lineRule="exact"/>
        <w:ind w:firstLine="642" w:firstLineChars="200"/>
        <w:jc w:val="both"/>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2</w:t>
      </w:r>
      <w:r>
        <w:rPr>
          <w:rFonts w:hint="eastAsia" w:ascii="仿宋_GB2312" w:hAnsi="仿宋_GB2312" w:eastAsia="仿宋_GB2312" w:cs="仿宋_GB2312"/>
          <w:b/>
          <w:bCs/>
          <w:sz w:val="32"/>
          <w:szCs w:val="32"/>
        </w:rPr>
        <w:t>.技术</w:t>
      </w:r>
      <w:r>
        <w:rPr>
          <w:rFonts w:hint="eastAsia" w:ascii="仿宋_GB2312" w:hAnsi="仿宋_GB2312" w:eastAsia="仿宋_GB2312" w:cs="仿宋_GB2312"/>
          <w:b/>
          <w:bCs/>
          <w:sz w:val="32"/>
          <w:szCs w:val="32"/>
          <w:lang w:eastAsia="zh-CN"/>
        </w:rPr>
        <w:t>可行性：</w:t>
      </w:r>
      <w:r>
        <w:rPr>
          <w:rFonts w:hint="eastAsia" w:ascii="仿宋_GB2312" w:hAnsi="仿宋_GB2312" w:eastAsia="仿宋_GB2312" w:cs="仿宋_GB2312"/>
          <w:sz w:val="32"/>
          <w:szCs w:val="32"/>
          <w:lang w:eastAsia="zh-CN"/>
        </w:rPr>
        <w:t>意向用地单位依托在微型驱动领域的深厚技术积累与持续创新能力，提供多元化、高端化的“传动系统+微电机系统+电控系统”整体解决方案能力，具有强大的技术壁垒和竞争优势。</w:t>
      </w:r>
    </w:p>
    <w:p>
      <w:pPr>
        <w:spacing w:line="560" w:lineRule="exact"/>
        <w:ind w:firstLine="64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b/>
          <w:sz w:val="32"/>
          <w:szCs w:val="32"/>
          <w:lang w:eastAsia="zh-CN"/>
        </w:rPr>
        <w:t>3.经济可行性：</w:t>
      </w:r>
      <w:r>
        <w:rPr>
          <w:rFonts w:hint="eastAsia" w:ascii="仿宋_GB2312" w:hAnsi="仿宋_GB2312" w:eastAsia="仿宋_GB2312" w:cs="仿宋_GB2312"/>
          <w:sz w:val="32"/>
          <w:szCs w:val="32"/>
          <w:lang w:eastAsia="zh-CN"/>
        </w:rPr>
        <w:t>意向用地单位作为微型传动系统和微型驱动系统领域的制造业单项冠军企业，拥有领先的市场份额、稳定的高端客户群，近三年以超15%的营业收入复合增长率稳步增长，具备良好的盈利能力和持续的研发投入能力；企业自有资金较为充裕，并已获得多家银行的授信支持，项目资金保障充分，可支撑持续的研发投入和市场扩张。</w:t>
      </w:r>
    </w:p>
    <w:p>
      <w:pPr>
        <w:spacing w:line="560" w:lineRule="exact"/>
        <w:ind w:firstLine="640" w:firstLineChars="0"/>
        <w:jc w:val="both"/>
        <w:rPr>
          <w:rFonts w:ascii="仿宋_GB2312" w:hAnsi="宋体" w:eastAsia="仿宋_GB2312"/>
          <w:b/>
          <w:bCs/>
          <w:sz w:val="32"/>
          <w:szCs w:val="32"/>
          <w:lang w:eastAsia="zh-CN" w:bidi="ar"/>
        </w:rPr>
      </w:pPr>
      <w:r>
        <w:rPr>
          <w:rFonts w:hint="eastAsia" w:ascii="楷体" w:hAnsi="楷体" w:eastAsia="楷体" w:cs="楷体"/>
          <w:b/>
          <w:bCs/>
          <w:sz w:val="32"/>
          <w:szCs w:val="32"/>
          <w:lang w:eastAsia="zh-CN"/>
        </w:rPr>
        <w:t>（三）建设内容：</w:t>
      </w:r>
    </w:p>
    <w:p>
      <w:pPr>
        <w:spacing w:line="560" w:lineRule="exact"/>
        <w:ind w:firstLine="640" w:firstLineChars="200"/>
        <w:jc w:val="both"/>
        <w:rPr>
          <w:rFonts w:hint="eastAsia" w:ascii="仿宋_GB2312" w:hAnsi="宋体" w:eastAsia="仿宋_GB2312"/>
          <w:sz w:val="32"/>
          <w:szCs w:val="32"/>
          <w:lang w:eastAsia="zh-CN" w:bidi="ar"/>
        </w:rPr>
      </w:pPr>
      <w:r>
        <w:rPr>
          <w:rFonts w:hint="eastAsia" w:ascii="仿宋_GB2312" w:hAnsi="宋体" w:eastAsia="仿宋_GB2312"/>
          <w:sz w:val="32"/>
          <w:szCs w:val="32"/>
          <w:lang w:eastAsia="zh-CN" w:bidi="ar"/>
        </w:rPr>
        <w:t>本项目计划建设</w:t>
      </w:r>
      <w:r>
        <w:rPr>
          <w:rFonts w:hint="eastAsia" w:ascii="仿宋_GB2312" w:eastAsia="仿宋_GB2312"/>
          <w:sz w:val="32"/>
          <w:szCs w:val="32"/>
          <w:lang w:eastAsia="zh-CN" w:bidi="ar"/>
        </w:rPr>
        <w:t>宝安</w:t>
      </w:r>
      <w:r>
        <w:rPr>
          <w:rFonts w:hint="eastAsia" w:ascii="仿宋_GB2312" w:eastAsia="仿宋_GB2312"/>
          <w:sz w:val="32"/>
          <w:szCs w:val="32"/>
          <w:lang w:bidi="ar"/>
        </w:rPr>
        <w:t>灵巧手及微型驱动系统</w:t>
      </w:r>
      <w:r>
        <w:rPr>
          <w:rFonts w:hint="eastAsia" w:ascii="仿宋_GB2312" w:eastAsia="仿宋_GB2312"/>
          <w:sz w:val="32"/>
          <w:szCs w:val="32"/>
          <w:lang w:eastAsia="zh-CN" w:bidi="ar"/>
        </w:rPr>
        <w:t>产业园</w:t>
      </w:r>
      <w:r>
        <w:rPr>
          <w:rFonts w:hint="eastAsia" w:ascii="仿宋_GB2312" w:hAnsi="宋体" w:eastAsia="仿宋_GB2312"/>
          <w:sz w:val="32"/>
          <w:szCs w:val="32"/>
          <w:lang w:eastAsia="zh-CN" w:bidi="ar"/>
        </w:rPr>
        <w:t>，主要建设生产厂房及其他配套设施，拟用于灵巧手</w:t>
      </w:r>
      <w:r>
        <w:rPr>
          <w:rFonts w:ascii="仿宋_GB2312" w:hAnsi="宋体" w:eastAsia="仿宋_GB2312"/>
          <w:sz w:val="32"/>
          <w:szCs w:val="32"/>
          <w:lang w:eastAsia="zh-CN" w:bidi="ar"/>
        </w:rPr>
        <w:t>、</w:t>
      </w:r>
      <w:r>
        <w:rPr>
          <w:rFonts w:hint="eastAsia" w:ascii="仿宋_GB2312" w:hAnsi="宋体" w:eastAsia="仿宋_GB2312"/>
          <w:sz w:val="32"/>
          <w:szCs w:val="32"/>
          <w:lang w:eastAsia="zh-CN" w:bidi="ar"/>
        </w:rPr>
        <w:t>微型驱动系统、微电机的</w:t>
      </w:r>
      <w:r>
        <w:rPr>
          <w:rFonts w:ascii="仿宋_GB2312" w:hAnsi="宋体" w:eastAsia="仿宋_GB2312"/>
          <w:sz w:val="32"/>
          <w:szCs w:val="32"/>
          <w:lang w:eastAsia="zh-CN" w:bidi="ar"/>
        </w:rPr>
        <w:t>研发、生产、销售等业务</w:t>
      </w:r>
      <w:r>
        <w:rPr>
          <w:rFonts w:hint="eastAsia" w:ascii="仿宋_GB2312" w:hAnsi="宋体" w:eastAsia="仿宋_GB2312"/>
          <w:sz w:val="32"/>
          <w:szCs w:val="32"/>
          <w:lang w:eastAsia="zh-CN" w:bidi="ar"/>
        </w:rPr>
        <w:t>。</w:t>
      </w:r>
    </w:p>
    <w:p>
      <w:pPr>
        <w:spacing w:line="560" w:lineRule="exact"/>
        <w:ind w:firstLine="642" w:firstLineChars="200"/>
        <w:jc w:val="both"/>
        <w:rPr>
          <w:rFonts w:ascii="仿宋_GB2312" w:hAnsi="宋体" w:eastAsia="仿宋_GB2312"/>
          <w:b/>
          <w:bCs/>
          <w:sz w:val="32"/>
          <w:szCs w:val="32"/>
          <w:lang w:eastAsia="zh-CN" w:bidi="ar"/>
        </w:rPr>
      </w:pPr>
      <w:r>
        <w:rPr>
          <w:rFonts w:hint="eastAsia" w:ascii="楷体" w:hAnsi="楷体" w:eastAsia="楷体" w:cs="楷体"/>
          <w:b/>
          <w:bCs/>
          <w:sz w:val="32"/>
          <w:szCs w:val="32"/>
          <w:lang w:eastAsia="zh-CN"/>
        </w:rPr>
        <w:t>（四）初步建设规模：</w:t>
      </w:r>
    </w:p>
    <w:p>
      <w:pPr>
        <w:spacing w:line="560" w:lineRule="exact"/>
        <w:ind w:firstLine="640" w:firstLineChars="200"/>
        <w:jc w:val="both"/>
        <w:rPr>
          <w:rFonts w:ascii="仿宋_GB2312" w:hAnsi="宋体" w:eastAsia="仿宋_GB2312"/>
          <w:sz w:val="32"/>
          <w:szCs w:val="32"/>
          <w:lang w:eastAsia="zh-CN" w:bidi="ar"/>
        </w:rPr>
      </w:pPr>
      <w:r>
        <w:rPr>
          <w:rFonts w:hint="eastAsia" w:ascii="仿宋_GB2312" w:hAnsi="宋体" w:eastAsia="仿宋_GB2312"/>
          <w:sz w:val="32"/>
          <w:szCs w:val="32"/>
          <w:lang w:eastAsia="zh-CN" w:bidi="ar"/>
        </w:rPr>
        <w:t>项目占地面积约1.88</w:t>
      </w:r>
      <w:r>
        <w:rPr>
          <w:rFonts w:ascii="仿宋_GB2312" w:hAnsi="宋体" w:eastAsia="仿宋_GB2312"/>
          <w:sz w:val="32"/>
          <w:szCs w:val="32"/>
          <w:lang w:eastAsia="zh-CN" w:bidi="ar"/>
        </w:rPr>
        <w:t>万</w:t>
      </w:r>
      <w:r>
        <w:rPr>
          <w:rFonts w:hint="eastAsia" w:ascii="仿宋_GB2312" w:hAnsi="宋体" w:eastAsia="仿宋_GB2312"/>
          <w:sz w:val="32"/>
          <w:szCs w:val="32"/>
          <w:lang w:eastAsia="zh-CN" w:bidi="ar"/>
        </w:rPr>
        <w:t>平方米，拟规划建设建筑面积约9.4</w:t>
      </w:r>
      <w:r>
        <w:rPr>
          <w:rFonts w:ascii="仿宋_GB2312" w:hAnsi="宋体" w:eastAsia="仿宋_GB2312"/>
          <w:sz w:val="32"/>
          <w:szCs w:val="32"/>
          <w:lang w:eastAsia="zh-CN" w:bidi="ar"/>
        </w:rPr>
        <w:t>万</w:t>
      </w:r>
      <w:r>
        <w:rPr>
          <w:rFonts w:hint="eastAsia" w:ascii="仿宋_GB2312" w:hAnsi="宋体" w:eastAsia="仿宋_GB2312"/>
          <w:sz w:val="32"/>
          <w:szCs w:val="32"/>
          <w:lang w:eastAsia="zh-CN" w:bidi="ar"/>
        </w:rPr>
        <w:t>平方米，容积率约5.0，用地性质为普通工业用地（M1）（以土地使用权出让合同为准）。其中，生产厂房等主导功能部分建筑面积不低于6.58万平方米，占比不低于70%，配套用房面积不高于2.82万平方米，占比不高于30%（以规资部门出具的规划设计要点为准）。</w:t>
      </w:r>
    </w:p>
    <w:p>
      <w:pPr>
        <w:spacing w:line="560" w:lineRule="exact"/>
        <w:ind w:firstLine="640" w:firstLineChars="200"/>
        <w:jc w:val="both"/>
        <w:rPr>
          <w:rFonts w:ascii="黑体" w:hAnsi="黑体" w:eastAsia="黑体" w:cs="黑体"/>
          <w:sz w:val="32"/>
          <w:szCs w:val="32"/>
          <w:lang w:eastAsia="zh-CN"/>
        </w:rPr>
      </w:pPr>
      <w:r>
        <w:rPr>
          <w:rFonts w:hint="eastAsia" w:ascii="黑体" w:hAnsi="黑体" w:eastAsia="黑体" w:cs="黑体"/>
          <w:sz w:val="32"/>
          <w:szCs w:val="32"/>
          <w:lang w:eastAsia="zh-CN"/>
        </w:rPr>
        <w:t>四、项目准入条件</w:t>
      </w:r>
    </w:p>
    <w:p>
      <w:pPr>
        <w:spacing w:line="560" w:lineRule="exact"/>
        <w:ind w:firstLine="642" w:firstLineChars="200"/>
        <w:jc w:val="both"/>
        <w:rPr>
          <w:rFonts w:hint="eastAsia" w:ascii="仿宋_GB2312" w:hAnsi="宋体" w:eastAsia="仿宋_GB2312"/>
          <w:b/>
          <w:bCs/>
          <w:sz w:val="32"/>
          <w:szCs w:val="32"/>
          <w:lang w:eastAsia="zh-CN"/>
        </w:rPr>
      </w:pPr>
      <w:r>
        <w:rPr>
          <w:rFonts w:hint="eastAsia" w:ascii="楷体" w:hAnsi="楷体" w:eastAsia="楷体" w:cs="楷体"/>
          <w:b/>
          <w:bCs/>
          <w:sz w:val="32"/>
          <w:szCs w:val="32"/>
          <w:lang w:eastAsia="zh-CN"/>
        </w:rPr>
        <w:t>（一）产业类型：</w:t>
      </w:r>
    </w:p>
    <w:p>
      <w:pPr>
        <w:spacing w:line="560" w:lineRule="exact"/>
        <w:ind w:firstLine="640" w:firstLineChars="200"/>
        <w:jc w:val="both"/>
        <w:rPr>
          <w:rFonts w:ascii="仿宋_GB2312" w:hAnsi="宋体" w:eastAsia="仿宋_GB2312"/>
          <w:sz w:val="32"/>
          <w:szCs w:val="32"/>
          <w:lang w:eastAsia="zh-CN"/>
        </w:rPr>
      </w:pPr>
      <w:r>
        <w:rPr>
          <w:rFonts w:hint="eastAsia" w:ascii="仿宋_GB2312" w:hAnsi="宋体" w:eastAsia="仿宋_GB2312"/>
          <w:sz w:val="32"/>
          <w:szCs w:val="32"/>
          <w:lang w:eastAsia="zh-CN"/>
        </w:rPr>
        <w:t>符合《深圳市产业结构调整优化和产业导向目录（2016年修订）》中的鼓励发展类A11机器人、可穿戴设备和智能装备产业，属于深圳市“20+8”战略性新兴产业和未来产业集群。</w:t>
      </w:r>
    </w:p>
    <w:p>
      <w:pPr>
        <w:spacing w:line="560" w:lineRule="exact"/>
        <w:ind w:firstLine="642" w:firstLineChars="200"/>
        <w:jc w:val="both"/>
        <w:rPr>
          <w:rFonts w:hint="eastAsia" w:ascii="仿宋_GB2312" w:hAnsi="宋体" w:eastAsia="仿宋_GB2312"/>
          <w:b/>
          <w:bCs/>
          <w:sz w:val="32"/>
          <w:szCs w:val="32"/>
          <w:lang w:eastAsia="zh-CN"/>
        </w:rPr>
      </w:pPr>
      <w:r>
        <w:rPr>
          <w:rFonts w:hint="eastAsia" w:ascii="楷体" w:hAnsi="楷体" w:eastAsia="楷体" w:cs="楷体"/>
          <w:b/>
          <w:bCs/>
          <w:sz w:val="32"/>
          <w:szCs w:val="32"/>
          <w:lang w:eastAsia="zh-CN"/>
        </w:rPr>
        <w:t>（二）生产技术：</w:t>
      </w:r>
    </w:p>
    <w:p>
      <w:pPr>
        <w:spacing w:line="560" w:lineRule="exact"/>
        <w:ind w:firstLine="640" w:firstLineChars="200"/>
        <w:jc w:val="both"/>
        <w:rPr>
          <w:rFonts w:hint="eastAsia" w:ascii="仿宋_GB2312" w:hAnsi="宋体" w:eastAsia="仿宋_GB2312"/>
          <w:sz w:val="32"/>
          <w:szCs w:val="32"/>
          <w:lang w:eastAsia="zh-CN"/>
        </w:rPr>
      </w:pPr>
      <w:r>
        <w:rPr>
          <w:rFonts w:hint="eastAsia" w:ascii="仿宋_GB2312" w:hAnsi="宋体" w:eastAsia="仿宋_GB2312"/>
          <w:sz w:val="32"/>
          <w:szCs w:val="32"/>
          <w:lang w:eastAsia="zh-CN"/>
        </w:rPr>
        <w:t>1</w:t>
      </w:r>
      <w:r>
        <w:rPr>
          <w:rFonts w:ascii="仿宋_GB2312" w:hAnsi="宋体" w:eastAsia="仿宋_GB2312"/>
          <w:sz w:val="32"/>
          <w:szCs w:val="32"/>
          <w:lang w:eastAsia="zh-CN"/>
        </w:rPr>
        <w:t>.</w:t>
      </w:r>
      <w:r>
        <w:rPr>
          <w:rFonts w:hint="eastAsia" w:ascii="仿宋_GB2312" w:hAnsi="宋体" w:eastAsia="仿宋_GB2312"/>
          <w:sz w:val="32"/>
          <w:szCs w:val="32"/>
          <w:lang w:eastAsia="zh-CN"/>
        </w:rPr>
        <w:t>竞买申请人主持</w:t>
      </w:r>
      <w:r>
        <w:rPr>
          <w:rFonts w:hint="eastAsia" w:ascii="仿宋_GB2312" w:hAnsi="宋体" w:eastAsia="仿宋_GB2312"/>
          <w:sz w:val="32"/>
          <w:szCs w:val="32"/>
          <w:lang w:val="en-US" w:eastAsia="zh-CN"/>
        </w:rPr>
        <w:t>/</w:t>
      </w:r>
      <w:r>
        <w:rPr>
          <w:rFonts w:hint="eastAsia" w:ascii="仿宋_GB2312" w:hAnsi="宋体" w:eastAsia="仿宋_GB2312"/>
          <w:sz w:val="32"/>
          <w:szCs w:val="32"/>
          <w:lang w:eastAsia="zh-CN"/>
        </w:rPr>
        <w:t>参与制定微型驱动系统领域相关国家标准及团体标准，获灵巧手及微型驱动领域授权发明专利不少于</w:t>
      </w:r>
      <w:r>
        <w:rPr>
          <w:rFonts w:hint="eastAsia" w:ascii="仿宋_GB2312" w:hAnsi="宋体" w:eastAsia="仿宋_GB2312"/>
          <w:sz w:val="32"/>
          <w:szCs w:val="32"/>
          <w:lang w:val="en-US" w:eastAsia="zh-CN"/>
        </w:rPr>
        <w:t>50</w:t>
      </w:r>
      <w:r>
        <w:rPr>
          <w:rFonts w:hint="eastAsia" w:ascii="仿宋_GB2312" w:hAnsi="宋体" w:eastAsia="仿宋_GB2312"/>
          <w:sz w:val="32"/>
          <w:szCs w:val="32"/>
          <w:lang w:eastAsia="zh-CN"/>
        </w:rPr>
        <w:t>件；</w:t>
      </w:r>
    </w:p>
    <w:p>
      <w:pPr>
        <w:widowControl/>
        <w:spacing w:line="560" w:lineRule="exact"/>
        <w:ind w:firstLine="640" w:firstLineChars="200"/>
        <w:jc w:val="both"/>
        <w:rPr>
          <w:rFonts w:ascii="仿宋_GB2312" w:hAnsi="宋体" w:eastAsia="仿宋_GB2312"/>
          <w:sz w:val="32"/>
          <w:szCs w:val="32"/>
          <w:lang w:eastAsia="zh-CN"/>
        </w:rPr>
      </w:pPr>
      <w:r>
        <w:rPr>
          <w:rFonts w:hint="eastAsia" w:ascii="仿宋_GB2312" w:hAnsi="宋体" w:eastAsia="仿宋_GB2312"/>
          <w:sz w:val="32"/>
          <w:szCs w:val="32"/>
          <w:lang w:val="en-US" w:eastAsia="zh-CN"/>
        </w:rPr>
        <w:t>2</w:t>
      </w:r>
      <w:r>
        <w:rPr>
          <w:rFonts w:hint="eastAsia" w:ascii="仿宋_GB2312" w:hAnsi="宋体" w:eastAsia="仿宋_GB2312"/>
          <w:sz w:val="32"/>
          <w:szCs w:val="32"/>
          <w:lang w:eastAsia="zh-CN"/>
        </w:rPr>
        <w:t>.竞买申请人建</w:t>
      </w:r>
      <w:r>
        <w:rPr>
          <w:rFonts w:hint="eastAsia" w:ascii="仿宋_GB2312" w:hAnsi="宋体" w:eastAsia="仿宋_GB2312"/>
          <w:sz w:val="32"/>
          <w:szCs w:val="32"/>
          <w:highlight w:val="none"/>
          <w:lang w:eastAsia="zh-CN"/>
        </w:rPr>
        <w:t>有省级及以上工程技术研究中心、地市级及以上工程研究中心创新</w:t>
      </w:r>
      <w:r>
        <w:rPr>
          <w:rFonts w:hint="eastAsia" w:ascii="仿宋_GB2312" w:hAnsi="宋体" w:eastAsia="仿宋_GB2312"/>
          <w:sz w:val="32"/>
          <w:szCs w:val="32"/>
          <w:lang w:eastAsia="zh-CN"/>
        </w:rPr>
        <w:t>平台。</w:t>
      </w:r>
    </w:p>
    <w:p>
      <w:pPr>
        <w:spacing w:line="560" w:lineRule="exact"/>
        <w:ind w:firstLine="642" w:firstLineChars="200"/>
        <w:jc w:val="both"/>
        <w:rPr>
          <w:sz w:val="32"/>
          <w:szCs w:val="32"/>
          <w:lang w:eastAsia="zh-CN"/>
        </w:rPr>
      </w:pPr>
      <w:r>
        <w:rPr>
          <w:rFonts w:hint="eastAsia" w:ascii="楷体" w:hAnsi="楷体" w:eastAsia="楷体" w:cs="楷体"/>
          <w:b/>
          <w:bCs/>
          <w:sz w:val="32"/>
          <w:szCs w:val="32"/>
          <w:lang w:eastAsia="zh-CN"/>
        </w:rPr>
        <w:t>（三）产业标准：</w:t>
      </w:r>
    </w:p>
    <w:p>
      <w:pPr>
        <w:widowControl/>
        <w:spacing w:line="560" w:lineRule="exact"/>
        <w:ind w:firstLine="640" w:firstLineChars="200"/>
        <w:jc w:val="both"/>
        <w:rPr>
          <w:rFonts w:hint="eastAsia" w:ascii="仿宋_GB2312" w:hAnsi="宋体" w:eastAsia="仿宋_GB2312"/>
          <w:sz w:val="32"/>
          <w:szCs w:val="32"/>
          <w:lang w:eastAsia="zh-CN"/>
        </w:rPr>
      </w:pPr>
      <w:r>
        <w:rPr>
          <w:rFonts w:hint="eastAsia" w:ascii="仿宋_GB2312" w:hAnsi="宋体" w:eastAsia="仿宋_GB2312"/>
          <w:sz w:val="32"/>
          <w:szCs w:val="32"/>
          <w:lang w:eastAsia="zh-CN"/>
        </w:rPr>
        <w:t>竞买申请人属于国家制造业单项冠军企业、国家高新技术企业，获得国家企业技术中心等相关荣誉。</w:t>
      </w:r>
    </w:p>
    <w:p>
      <w:pPr>
        <w:spacing w:line="560" w:lineRule="exact"/>
        <w:ind w:firstLine="642" w:firstLineChars="200"/>
        <w:jc w:val="both"/>
        <w:rPr>
          <w:sz w:val="32"/>
          <w:szCs w:val="32"/>
          <w:lang w:eastAsia="zh-CN"/>
        </w:rPr>
      </w:pPr>
      <w:r>
        <w:rPr>
          <w:rFonts w:hint="eastAsia" w:ascii="楷体" w:hAnsi="楷体" w:eastAsia="楷体" w:cs="楷体"/>
          <w:b/>
          <w:bCs/>
          <w:sz w:val="32"/>
          <w:szCs w:val="32"/>
          <w:lang w:eastAsia="zh-CN"/>
        </w:rPr>
        <w:t>（四）产品品质：</w:t>
      </w:r>
    </w:p>
    <w:p>
      <w:pPr>
        <w:spacing w:line="560" w:lineRule="exact"/>
        <w:ind w:firstLine="640" w:firstLineChars="200"/>
        <w:jc w:val="both"/>
        <w:rPr>
          <w:rFonts w:hint="eastAsia" w:ascii="仿宋_GB2312" w:hAnsi="宋体" w:eastAsia="仿宋_GB2312"/>
          <w:sz w:val="32"/>
          <w:szCs w:val="32"/>
          <w:lang w:eastAsia="zh-CN"/>
        </w:rPr>
      </w:pPr>
      <w:r>
        <w:rPr>
          <w:rFonts w:hint="eastAsia" w:ascii="仿宋_GB2312" w:hAnsi="宋体" w:eastAsia="仿宋_GB2312"/>
          <w:sz w:val="32"/>
          <w:szCs w:val="32"/>
          <w:lang w:val="en-US" w:eastAsia="zh-CN"/>
        </w:rPr>
        <w:t>1.</w:t>
      </w:r>
      <w:r>
        <w:rPr>
          <w:rFonts w:hint="eastAsia" w:ascii="仿宋_GB2312" w:hAnsi="宋体" w:eastAsia="仿宋_GB2312"/>
          <w:sz w:val="32"/>
          <w:szCs w:val="32"/>
          <w:lang w:eastAsia="zh-CN"/>
        </w:rPr>
        <w:t>竞买申请人通过ISO9001质量管理体系认证、ISO14001环境管理体系认证；</w:t>
      </w:r>
    </w:p>
    <w:p>
      <w:pPr>
        <w:spacing w:line="560" w:lineRule="exact"/>
        <w:ind w:firstLine="640" w:firstLineChars="200"/>
        <w:jc w:val="both"/>
        <w:rPr>
          <w:rFonts w:ascii="仿宋_GB2312" w:hAnsi="宋体" w:eastAsia="仿宋_GB2312"/>
          <w:sz w:val="32"/>
          <w:szCs w:val="32"/>
          <w:lang w:eastAsia="zh-CN"/>
        </w:rPr>
      </w:pPr>
      <w:r>
        <w:rPr>
          <w:rFonts w:hint="eastAsia" w:ascii="仿宋_GB2312" w:hAnsi="宋体" w:eastAsia="仿宋_GB2312"/>
          <w:sz w:val="32"/>
          <w:szCs w:val="32"/>
          <w:lang w:val="en-US" w:eastAsia="zh-CN"/>
        </w:rPr>
        <w:t>2.</w:t>
      </w:r>
      <w:r>
        <w:rPr>
          <w:rFonts w:hint="eastAsia" w:ascii="仿宋_GB2312" w:hAnsi="宋体" w:eastAsia="仿宋_GB2312"/>
          <w:sz w:val="32"/>
          <w:szCs w:val="32"/>
          <w:lang w:eastAsia="zh-CN"/>
        </w:rPr>
        <w:t>竞买申请人产业生产具有CE、RoHS、EMC等国际产品认证体系。</w:t>
      </w:r>
    </w:p>
    <w:p>
      <w:pPr>
        <w:spacing w:line="560" w:lineRule="exact"/>
        <w:ind w:firstLine="642" w:firstLineChars="200"/>
        <w:jc w:val="both"/>
        <w:rPr>
          <w:rFonts w:ascii="黑体" w:hAnsi="黑体" w:eastAsia="黑体" w:cs="黑体"/>
          <w:sz w:val="32"/>
          <w:szCs w:val="32"/>
          <w:lang w:eastAsia="zh-CN"/>
        </w:rPr>
      </w:pPr>
      <w:r>
        <w:rPr>
          <w:rFonts w:hint="eastAsia" w:ascii="楷体" w:hAnsi="楷体" w:eastAsia="楷体" w:cs="楷体"/>
          <w:b/>
          <w:bCs/>
          <w:sz w:val="32"/>
          <w:szCs w:val="32"/>
          <w:lang w:eastAsia="zh-CN"/>
        </w:rPr>
        <w:t>（五）项目社会经济效益：</w:t>
      </w:r>
    </w:p>
    <w:p>
      <w:pPr>
        <w:spacing w:line="560" w:lineRule="exact"/>
        <w:ind w:firstLine="642" w:firstLineChars="200"/>
        <w:jc w:val="both"/>
        <w:rPr>
          <w:rFonts w:ascii="仿宋_GB2312" w:hAnsi="宋体" w:eastAsia="仿宋_GB2312"/>
          <w:b/>
          <w:bCs/>
          <w:sz w:val="32"/>
          <w:szCs w:val="32"/>
          <w:lang w:eastAsia="zh-CN"/>
        </w:rPr>
      </w:pPr>
      <w:r>
        <w:rPr>
          <w:rFonts w:hint="eastAsia" w:ascii="仿宋_GB2312" w:hAnsi="宋体" w:eastAsia="仿宋_GB2312"/>
          <w:b/>
          <w:bCs/>
          <w:sz w:val="32"/>
          <w:szCs w:val="32"/>
          <w:lang w:eastAsia="zh-CN"/>
        </w:rPr>
        <w:t>1.投产时间：</w:t>
      </w:r>
      <w:r>
        <w:rPr>
          <w:rFonts w:hint="eastAsia" w:ascii="仿宋_GB2312" w:hAnsi="仿宋_GB2312" w:eastAsia="仿宋_GB2312" w:cs="仿宋_GB2312"/>
          <w:color w:val="000000"/>
          <w:kern w:val="0"/>
          <w:sz w:val="32"/>
          <w:szCs w:val="32"/>
          <w:lang w:eastAsia="zh-CN"/>
        </w:rPr>
        <w:t>开工竣工时间以《土地使用权出让合同》约定时间为准，应于项目竣工验收后1年内投产。</w:t>
      </w:r>
    </w:p>
    <w:p>
      <w:pPr>
        <w:spacing w:line="560" w:lineRule="exact"/>
        <w:ind w:firstLine="642" w:firstLineChars="200"/>
        <w:jc w:val="both"/>
        <w:rPr>
          <w:rFonts w:ascii="仿宋_GB2312" w:hAnsi="宋体" w:eastAsia="仿宋_GB2312"/>
          <w:sz w:val="32"/>
          <w:szCs w:val="32"/>
          <w:lang w:eastAsia="zh-CN"/>
        </w:rPr>
      </w:pPr>
      <w:r>
        <w:rPr>
          <w:rFonts w:hint="eastAsia" w:ascii="仿宋_GB2312" w:hAnsi="宋体" w:eastAsia="仿宋_GB2312"/>
          <w:b/>
          <w:bCs/>
          <w:sz w:val="32"/>
          <w:szCs w:val="32"/>
          <w:lang w:eastAsia="zh-CN"/>
        </w:rPr>
        <w:t>2.投资强度：</w:t>
      </w:r>
      <w:r>
        <w:rPr>
          <w:rFonts w:hint="eastAsia" w:ascii="仿宋_GB2312" w:hAnsi="宋体" w:eastAsia="仿宋_GB2312"/>
          <w:b w:val="0"/>
          <w:bCs w:val="0"/>
          <w:sz w:val="32"/>
          <w:szCs w:val="32"/>
          <w:lang w:eastAsia="zh-CN"/>
        </w:rPr>
        <w:t>项目</w:t>
      </w:r>
      <w:r>
        <w:rPr>
          <w:rFonts w:ascii="仿宋_GB2312" w:hAnsi="宋体" w:eastAsia="仿宋_GB2312"/>
          <w:sz w:val="32"/>
          <w:szCs w:val="32"/>
          <w:lang w:eastAsia="zh-CN"/>
        </w:rPr>
        <w:t>固</w:t>
      </w:r>
      <w:r>
        <w:rPr>
          <w:rFonts w:hint="eastAsia" w:ascii="仿宋_GB2312" w:hAnsi="宋体" w:eastAsia="仿宋_GB2312"/>
          <w:sz w:val="32"/>
          <w:szCs w:val="32"/>
          <w:lang w:eastAsia="zh-CN"/>
        </w:rPr>
        <w:t>定</w:t>
      </w:r>
      <w:r>
        <w:rPr>
          <w:rFonts w:ascii="仿宋_GB2312" w:hAnsi="宋体" w:eastAsia="仿宋_GB2312"/>
          <w:sz w:val="32"/>
          <w:szCs w:val="32"/>
          <w:lang w:eastAsia="zh-CN"/>
        </w:rPr>
        <w:t>资产投资强度（</w:t>
      </w:r>
      <w:r>
        <w:rPr>
          <w:rFonts w:hint="eastAsia" w:ascii="仿宋_GB2312" w:hAnsi="宋体" w:eastAsia="仿宋_GB2312"/>
          <w:sz w:val="32"/>
          <w:szCs w:val="32"/>
          <w:lang w:eastAsia="zh-CN"/>
        </w:rPr>
        <w:t>固定资产投资额</w:t>
      </w:r>
      <w:r>
        <w:rPr>
          <w:rFonts w:ascii="仿宋_GB2312" w:hAnsi="宋体" w:eastAsia="仿宋_GB2312"/>
          <w:sz w:val="32"/>
          <w:szCs w:val="32"/>
          <w:lang w:eastAsia="zh-CN"/>
        </w:rPr>
        <w:t>/</w:t>
      </w:r>
      <w:r>
        <w:rPr>
          <w:rFonts w:hint="eastAsia" w:ascii="仿宋_GB2312" w:hAnsi="宋体" w:eastAsia="仿宋_GB2312"/>
          <w:sz w:val="32"/>
          <w:szCs w:val="32"/>
          <w:lang w:eastAsia="zh-CN"/>
        </w:rPr>
        <w:t>项目</w:t>
      </w:r>
      <w:r>
        <w:rPr>
          <w:rFonts w:ascii="仿宋_GB2312" w:hAnsi="宋体" w:eastAsia="仿宋_GB2312"/>
          <w:sz w:val="32"/>
          <w:szCs w:val="32"/>
          <w:lang w:eastAsia="zh-CN"/>
        </w:rPr>
        <w:t>计容建筑面积）不少于</w:t>
      </w:r>
      <w:r>
        <w:rPr>
          <w:rFonts w:hint="eastAsia" w:ascii="仿宋_GB2312" w:hAnsi="宋体" w:eastAsia="仿宋_GB2312"/>
          <w:sz w:val="32"/>
          <w:szCs w:val="32"/>
          <w:lang w:eastAsia="zh-CN"/>
        </w:rPr>
        <w:t>7800</w:t>
      </w:r>
      <w:r>
        <w:rPr>
          <w:rFonts w:ascii="仿宋_GB2312" w:hAnsi="宋体" w:eastAsia="仿宋_GB2312"/>
          <w:sz w:val="32"/>
          <w:szCs w:val="32"/>
          <w:lang w:eastAsia="zh-CN"/>
        </w:rPr>
        <w:t>万</w:t>
      </w:r>
      <w:r>
        <w:rPr>
          <w:rFonts w:ascii="仿宋_GB2312" w:hAnsi="宋体" w:eastAsia="仿宋_GB2312"/>
          <w:bCs/>
          <w:sz w:val="32"/>
          <w:szCs w:val="32"/>
          <w:lang w:eastAsia="zh-CN"/>
        </w:rPr>
        <w:t>元/</w:t>
      </w:r>
      <w:r>
        <w:rPr>
          <w:rFonts w:hint="eastAsia" w:ascii="仿宋_GB2312" w:hAnsi="宋体" w:eastAsia="仿宋_GB2312"/>
          <w:bCs/>
          <w:sz w:val="32"/>
          <w:szCs w:val="32"/>
          <w:lang w:eastAsia="zh-CN"/>
        </w:rPr>
        <w:t>万</w:t>
      </w:r>
      <w:r>
        <w:rPr>
          <w:rFonts w:ascii="仿宋_GB2312" w:hAnsi="宋体" w:eastAsia="仿宋_GB2312"/>
          <w:bCs/>
          <w:sz w:val="32"/>
          <w:szCs w:val="32"/>
          <w:lang w:eastAsia="zh-CN"/>
        </w:rPr>
        <w:t>平方米，</w:t>
      </w:r>
      <w:r>
        <w:rPr>
          <w:rFonts w:ascii="仿宋_GB2312" w:hAnsi="宋体" w:eastAsia="仿宋_GB2312"/>
          <w:sz w:val="32"/>
          <w:szCs w:val="32"/>
          <w:lang w:eastAsia="zh-CN"/>
        </w:rPr>
        <w:t>即项目固定资产投资总额不低于</w:t>
      </w:r>
      <w:r>
        <w:rPr>
          <w:rFonts w:hint="eastAsia" w:ascii="仿宋_GB2312" w:hAnsi="宋体" w:eastAsia="仿宋_GB2312"/>
          <w:sz w:val="32"/>
          <w:szCs w:val="32"/>
          <w:lang w:eastAsia="zh-CN"/>
        </w:rPr>
        <w:t>7.36</w:t>
      </w:r>
      <w:r>
        <w:rPr>
          <w:rFonts w:ascii="仿宋_GB2312" w:hAnsi="宋体" w:eastAsia="仿宋_GB2312"/>
          <w:sz w:val="32"/>
          <w:szCs w:val="32"/>
          <w:lang w:eastAsia="zh-CN"/>
        </w:rPr>
        <w:t>亿元。</w:t>
      </w:r>
    </w:p>
    <w:p>
      <w:pPr>
        <w:spacing w:line="560" w:lineRule="exact"/>
        <w:ind w:firstLine="642" w:firstLineChars="200"/>
        <w:jc w:val="both"/>
        <w:rPr>
          <w:rFonts w:ascii="仿宋_GB2312" w:hAnsi="仿宋_GB2312" w:eastAsia="仿宋_GB2312" w:cs="仿宋_GB2312"/>
          <w:sz w:val="32"/>
          <w:szCs w:val="32"/>
          <w:lang w:eastAsia="zh-CN"/>
        </w:rPr>
      </w:pPr>
      <w:r>
        <w:rPr>
          <w:rFonts w:hint="eastAsia" w:ascii="仿宋_GB2312" w:hAnsi="宋体" w:eastAsia="仿宋_GB2312"/>
          <w:b/>
          <w:bCs/>
          <w:sz w:val="32"/>
          <w:szCs w:val="32"/>
          <w:lang w:eastAsia="zh-CN"/>
        </w:rPr>
        <w:t>3</w:t>
      </w:r>
      <w:r>
        <w:rPr>
          <w:rFonts w:ascii="仿宋_GB2312" w:hAnsi="宋体" w:eastAsia="仿宋_GB2312"/>
          <w:b/>
          <w:bCs/>
          <w:sz w:val="32"/>
          <w:szCs w:val="32"/>
          <w:lang w:eastAsia="zh-CN"/>
        </w:rPr>
        <w:t>.</w:t>
      </w:r>
      <w:r>
        <w:rPr>
          <w:rFonts w:hint="eastAsia" w:ascii="仿宋_GB2312" w:hAnsi="宋体" w:eastAsia="仿宋_GB2312"/>
          <w:b/>
          <w:bCs/>
          <w:sz w:val="32"/>
          <w:szCs w:val="32"/>
          <w:lang w:eastAsia="zh-CN"/>
        </w:rPr>
        <w:t>产出效率：</w:t>
      </w:r>
      <w:r>
        <w:rPr>
          <w:rFonts w:hint="eastAsia" w:ascii="仿宋_GB2312" w:hAnsi="仿宋_GB2312" w:eastAsia="仿宋_GB2312" w:cs="仿宋_GB2312"/>
          <w:sz w:val="32"/>
          <w:szCs w:val="32"/>
          <w:lang w:eastAsia="zh-CN"/>
        </w:rPr>
        <w:t>项目投产后第1年土地总产出（产值/营收）不低于</w:t>
      </w:r>
      <w:r>
        <w:rPr>
          <w:rFonts w:hint="eastAsia" w:ascii="仿宋_GB2312" w:hAnsi="仿宋_GB2312" w:eastAsia="仿宋_GB2312" w:cs="仿宋_GB2312"/>
          <w:sz w:val="32"/>
          <w:szCs w:val="32"/>
          <w:lang w:val="en-US" w:eastAsia="zh-CN"/>
        </w:rPr>
        <w:t>1</w:t>
      </w:r>
      <w:r>
        <w:rPr>
          <w:rFonts w:ascii="仿宋_GB2312" w:hAnsi="宋体" w:eastAsia="仿宋_GB2312"/>
          <w:sz w:val="32"/>
          <w:szCs w:val="32"/>
          <w:lang w:eastAsia="zh-CN"/>
        </w:rPr>
        <w:t>5</w:t>
      </w:r>
      <w:r>
        <w:rPr>
          <w:rFonts w:hint="eastAsia" w:ascii="仿宋_GB2312" w:hAnsi="仿宋_GB2312" w:eastAsia="仿宋_GB2312" w:cs="仿宋_GB2312"/>
          <w:sz w:val="32"/>
          <w:szCs w:val="32"/>
          <w:lang w:eastAsia="zh-CN"/>
        </w:rPr>
        <w:t>亿元，产出效率不低于</w:t>
      </w:r>
      <w:r>
        <w:rPr>
          <w:rFonts w:hint="eastAsia" w:ascii="仿宋_GB2312" w:hAnsi="宋体" w:eastAsia="仿宋_GB2312"/>
          <w:sz w:val="32"/>
          <w:szCs w:val="32"/>
          <w:lang w:val="en-US" w:eastAsia="zh-CN"/>
        </w:rPr>
        <w:t>1.59</w:t>
      </w:r>
      <w:r>
        <w:rPr>
          <w:rFonts w:hint="eastAsia" w:ascii="仿宋_GB2312" w:hAnsi="仿宋_GB2312" w:eastAsia="仿宋_GB2312" w:cs="仿宋_GB2312"/>
          <w:sz w:val="32"/>
          <w:szCs w:val="32"/>
          <w:lang w:eastAsia="zh-CN"/>
        </w:rPr>
        <w:t>亿</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平方米</w:t>
      </w:r>
      <w:r>
        <w:rPr>
          <w:rFonts w:hint="eastAsia" w:ascii="仿宋_GB2312" w:hAnsi="仿宋_GB2312" w:eastAsia="仿宋_GB2312" w:cs="仿宋_GB2312"/>
          <w:sz w:val="32"/>
          <w:szCs w:val="32"/>
          <w:lang w:eastAsia="zh-CN"/>
        </w:rPr>
        <w:t>（项目年产值（年营收）/项目计容建筑面积）；投产后首个5年监管期，年平均土地总产出（产值/营收）不低于</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亿元，产出效率不低于</w:t>
      </w:r>
      <w:r>
        <w:rPr>
          <w:rFonts w:hint="eastAsia" w:ascii="仿宋_GB2312" w:hAnsi="仿宋_GB2312" w:eastAsia="仿宋_GB2312" w:cs="仿宋_GB2312"/>
          <w:sz w:val="32"/>
          <w:szCs w:val="32"/>
          <w:lang w:val="en-US" w:eastAsia="zh-CN"/>
        </w:rPr>
        <w:t>2.13</w:t>
      </w:r>
      <w:r>
        <w:rPr>
          <w:rFonts w:hint="eastAsia" w:ascii="仿宋_GB2312" w:hAnsi="仿宋_GB2312" w:eastAsia="仿宋_GB2312" w:cs="仿宋_GB2312"/>
          <w:sz w:val="32"/>
          <w:szCs w:val="32"/>
          <w:lang w:eastAsia="zh-CN"/>
        </w:rPr>
        <w:t>亿元/万平方米；首个5年监管期结束后每隔5年、出让期届满前1年，年平均土地总产出不低于</w:t>
      </w:r>
      <w:r>
        <w:rPr>
          <w:rFonts w:ascii="仿宋_GB2312" w:hAnsi="仿宋_GB2312" w:eastAsia="仿宋_GB2312" w:cs="仿宋_GB2312"/>
          <w:sz w:val="32"/>
          <w:szCs w:val="32"/>
          <w:lang w:eastAsia="zh-CN"/>
        </w:rPr>
        <w:t>3</w:t>
      </w:r>
      <w:r>
        <w:rPr>
          <w:rFonts w:hint="eastAsia" w:ascii="仿宋_GB2312" w:hAnsi="仿宋_GB2312" w:eastAsia="仿宋_GB2312" w:cs="仿宋_GB2312"/>
          <w:sz w:val="32"/>
          <w:szCs w:val="32"/>
          <w:lang w:eastAsia="zh-CN"/>
        </w:rPr>
        <w:t>0亿元，产出效率不低于</w:t>
      </w:r>
      <w:r>
        <w:rPr>
          <w:rFonts w:ascii="仿宋_GB2312" w:hAnsi="仿宋_GB2312" w:eastAsia="仿宋_GB2312" w:cs="仿宋_GB2312"/>
          <w:sz w:val="32"/>
          <w:szCs w:val="32"/>
          <w:lang w:eastAsia="zh-CN"/>
        </w:rPr>
        <w:t>3.19</w:t>
      </w:r>
      <w:r>
        <w:rPr>
          <w:rFonts w:hint="eastAsia" w:ascii="仿宋_GB2312" w:hAnsi="仿宋_GB2312" w:eastAsia="仿宋_GB2312" w:cs="仿宋_GB2312"/>
          <w:sz w:val="32"/>
          <w:szCs w:val="32"/>
          <w:lang w:eastAsia="zh-CN"/>
        </w:rPr>
        <w:t>亿元/万平方米。</w:t>
      </w:r>
    </w:p>
    <w:p>
      <w:pPr>
        <w:spacing w:line="560" w:lineRule="exact"/>
        <w:ind w:firstLine="642" w:firstLineChars="200"/>
        <w:jc w:val="both"/>
        <w:rPr>
          <w:rFonts w:ascii="仿宋_GB2312" w:hAnsi="宋体" w:eastAsia="仿宋_GB2312"/>
          <w:sz w:val="32"/>
          <w:szCs w:val="32"/>
          <w:lang w:eastAsia="zh-CN"/>
        </w:rPr>
      </w:pPr>
      <w:r>
        <w:rPr>
          <w:rFonts w:hint="eastAsia" w:ascii="仿宋_GB2312" w:hAnsi="宋体" w:eastAsia="仿宋_GB2312"/>
          <w:b/>
          <w:bCs/>
          <w:sz w:val="32"/>
          <w:szCs w:val="32"/>
          <w:lang w:eastAsia="zh-CN"/>
        </w:rPr>
        <w:t>4</w:t>
      </w:r>
      <w:r>
        <w:rPr>
          <w:rFonts w:ascii="仿宋_GB2312" w:hAnsi="宋体" w:eastAsia="仿宋_GB2312"/>
          <w:b/>
          <w:bCs/>
          <w:sz w:val="32"/>
          <w:szCs w:val="32"/>
          <w:lang w:eastAsia="zh-CN"/>
        </w:rPr>
        <w:t>.</w:t>
      </w:r>
      <w:r>
        <w:rPr>
          <w:rFonts w:hint="eastAsia" w:ascii="仿宋_GB2312" w:hAnsi="宋体" w:eastAsia="仿宋_GB2312"/>
          <w:b/>
          <w:bCs/>
          <w:sz w:val="32"/>
          <w:szCs w:val="32"/>
          <w:lang w:eastAsia="zh-CN"/>
        </w:rPr>
        <w:t>产值能耗：</w:t>
      </w:r>
      <w:r>
        <w:rPr>
          <w:rFonts w:hint="eastAsia" w:ascii="仿宋_GB2312" w:hAnsi="宋体" w:eastAsia="仿宋_GB2312"/>
          <w:sz w:val="32"/>
          <w:szCs w:val="32"/>
          <w:lang w:eastAsia="zh-CN"/>
        </w:rPr>
        <w:t>项目投产后每年产值能耗不高于0.137吨标准煤/万元（年综合能源消费量/项目年产值（年营收））。</w:t>
      </w:r>
    </w:p>
    <w:p>
      <w:pPr>
        <w:pStyle w:val="18"/>
        <w:overflowPunct w:val="0"/>
        <w:spacing w:line="560" w:lineRule="exact"/>
        <w:ind w:firstLine="642" w:firstLineChars="200"/>
        <w:jc w:val="both"/>
        <w:rPr>
          <w:rFonts w:ascii="仿宋_GB2312" w:hAnsi="仿宋_GB2312" w:eastAsia="仿宋_GB2312" w:cs="仿宋_GB2312"/>
          <w:sz w:val="32"/>
          <w:szCs w:val="32"/>
        </w:rPr>
      </w:pPr>
      <w:r>
        <w:rPr>
          <w:rFonts w:hint="eastAsia" w:ascii="仿宋_GB2312" w:hAnsi="宋体" w:eastAsia="仿宋_GB2312"/>
          <w:b/>
          <w:bCs/>
          <w:sz w:val="32"/>
          <w:szCs w:val="32"/>
        </w:rPr>
        <w:t>5</w:t>
      </w:r>
      <w:r>
        <w:rPr>
          <w:rFonts w:ascii="仿宋_GB2312" w:hAnsi="宋体" w:eastAsia="仿宋_GB2312"/>
          <w:b/>
          <w:bCs/>
          <w:sz w:val="32"/>
          <w:szCs w:val="32"/>
        </w:rPr>
        <w:t>.</w:t>
      </w:r>
      <w:r>
        <w:rPr>
          <w:rFonts w:hint="eastAsia" w:ascii="仿宋_GB2312" w:hAnsi="宋体" w:eastAsia="仿宋_GB2312"/>
          <w:b/>
          <w:bCs/>
          <w:sz w:val="32"/>
          <w:szCs w:val="32"/>
        </w:rPr>
        <w:t>税收强度：</w:t>
      </w:r>
      <w:r>
        <w:rPr>
          <w:rFonts w:hint="eastAsia" w:ascii="仿宋_GB2312" w:hAnsi="仿宋_GB2312" w:eastAsia="仿宋_GB2312" w:cs="仿宋_GB2312"/>
          <w:sz w:val="32"/>
          <w:szCs w:val="32"/>
        </w:rPr>
        <w:t>项目投产后首个5年监管期，税收强度（年均纳税额/项目计容建筑面积）平均不低于</w:t>
      </w:r>
      <w:r>
        <w:rPr>
          <w:rFonts w:hint="eastAsia" w:ascii="仿宋_GB2312" w:hAnsi="仿宋_GB2312" w:eastAsia="仿宋_GB2312" w:cs="仿宋_GB2312"/>
          <w:sz w:val="32"/>
          <w:szCs w:val="32"/>
          <w:lang w:val="en-US" w:eastAsia="zh-CN"/>
        </w:rPr>
        <w:t>893.62</w:t>
      </w:r>
      <w:r>
        <w:rPr>
          <w:rFonts w:hint="eastAsia" w:ascii="仿宋_GB2312" w:hAnsi="仿宋_GB2312" w:eastAsia="仿宋_GB2312" w:cs="仿宋_GB2312"/>
          <w:sz w:val="32"/>
          <w:szCs w:val="32"/>
        </w:rPr>
        <w:t>万元/万平方米，即年均纳税额不低于</w:t>
      </w:r>
      <w:r>
        <w:rPr>
          <w:rFonts w:hint="eastAsia" w:ascii="仿宋_GB2312" w:hAnsi="仿宋_GB2312" w:eastAsia="仿宋_GB2312" w:cs="仿宋_GB2312"/>
          <w:sz w:val="32"/>
          <w:szCs w:val="32"/>
          <w:lang w:val="en-US" w:eastAsia="zh-CN"/>
        </w:rPr>
        <w:t>84</w:t>
      </w:r>
      <w:r>
        <w:rPr>
          <w:rFonts w:hint="eastAsia" w:ascii="仿宋_GB2312" w:hAnsi="仿宋_GB2312" w:eastAsia="仿宋_GB2312" w:cs="仿宋_GB2312"/>
          <w:sz w:val="32"/>
          <w:szCs w:val="32"/>
        </w:rPr>
        <w:t>00万元；首个5年监管期结束后每隔5年、出让年期届满前1年的税收强度平均不低于</w:t>
      </w:r>
      <w:r>
        <w:rPr>
          <w:rFonts w:ascii="仿宋_GB2312" w:hAnsi="仿宋_GB2312" w:eastAsia="仿宋_GB2312" w:cs="仿宋_GB2312"/>
          <w:sz w:val="32"/>
          <w:szCs w:val="32"/>
        </w:rPr>
        <w:t>1340.43</w:t>
      </w:r>
      <w:r>
        <w:rPr>
          <w:rFonts w:hint="eastAsia" w:ascii="仿宋_GB2312" w:hAnsi="仿宋_GB2312" w:eastAsia="仿宋_GB2312" w:cs="仿宋_GB2312"/>
          <w:sz w:val="32"/>
          <w:szCs w:val="32"/>
        </w:rPr>
        <w:t>万元/万平方米，即年均纳税额不低于</w:t>
      </w:r>
      <w:r>
        <w:rPr>
          <w:rFonts w:ascii="仿宋_GB2312" w:hAnsi="仿宋_GB2312" w:eastAsia="仿宋_GB2312" w:cs="仿宋_GB2312"/>
          <w:sz w:val="32"/>
          <w:szCs w:val="32"/>
        </w:rPr>
        <w:t>126</w:t>
      </w:r>
      <w:r>
        <w:rPr>
          <w:rFonts w:hint="eastAsia" w:ascii="仿宋_GB2312" w:hAnsi="仿宋_GB2312" w:eastAsia="仿宋_GB2312" w:cs="仿宋_GB2312"/>
          <w:sz w:val="32"/>
          <w:szCs w:val="32"/>
        </w:rPr>
        <w:t>00万元。</w:t>
      </w:r>
    </w:p>
    <w:p>
      <w:pPr>
        <w:spacing w:line="560" w:lineRule="exact"/>
        <w:ind w:firstLine="640" w:firstLineChars="200"/>
        <w:jc w:val="both"/>
        <w:rPr>
          <w:rFonts w:ascii="黑体" w:hAnsi="黑体" w:eastAsia="黑体" w:cs="黑体"/>
          <w:sz w:val="32"/>
          <w:szCs w:val="32"/>
          <w:lang w:eastAsia="zh-CN"/>
        </w:rPr>
      </w:pPr>
      <w:r>
        <w:rPr>
          <w:rFonts w:hint="eastAsia" w:ascii="黑体" w:hAnsi="黑体" w:eastAsia="黑体" w:cs="黑体"/>
          <w:sz w:val="32"/>
          <w:szCs w:val="32"/>
          <w:lang w:eastAsia="zh-CN"/>
        </w:rPr>
        <w:t>五、项目用地情况</w:t>
      </w:r>
    </w:p>
    <w:p>
      <w:pPr>
        <w:spacing w:line="560" w:lineRule="exact"/>
        <w:ind w:firstLine="642" w:firstLineChars="200"/>
        <w:jc w:val="both"/>
        <w:outlineLvl w:val="0"/>
        <w:rPr>
          <w:rFonts w:ascii="仿宋_GB2312" w:hAnsi="仿宋_GB2312" w:eastAsia="仿宋_GB2312" w:cs="仿宋_GB2312"/>
          <w:spacing w:val="-6"/>
          <w:sz w:val="32"/>
          <w:szCs w:val="32"/>
          <w:lang w:eastAsia="zh-CN"/>
        </w:rPr>
      </w:pPr>
      <w:r>
        <w:rPr>
          <w:rFonts w:hint="eastAsia" w:ascii="楷体" w:hAnsi="楷体" w:eastAsia="楷体" w:cs="楷体"/>
          <w:b/>
          <w:bCs/>
          <w:sz w:val="32"/>
          <w:szCs w:val="32"/>
          <w:lang w:eastAsia="zh-CN"/>
        </w:rPr>
        <w:t>（一）用地规模：</w:t>
      </w:r>
      <w:r>
        <w:rPr>
          <w:rFonts w:hint="eastAsia" w:ascii="仿宋_GB2312" w:hAnsi="仿宋_GB2312" w:eastAsia="仿宋_GB2312" w:cs="仿宋_GB2312"/>
          <w:spacing w:val="-6"/>
          <w:sz w:val="32"/>
          <w:szCs w:val="32"/>
          <w:lang w:eastAsia="zh-CN"/>
        </w:rPr>
        <w:t>18800平方米（以土地出让合同为准）</w:t>
      </w:r>
    </w:p>
    <w:p>
      <w:pPr>
        <w:spacing w:line="560" w:lineRule="exact"/>
        <w:ind w:firstLine="642" w:firstLineChars="200"/>
        <w:jc w:val="both"/>
        <w:rPr>
          <w:rFonts w:ascii="仿宋_GB2312" w:hAnsi="宋体" w:eastAsia="仿宋_GB2312"/>
          <w:sz w:val="32"/>
          <w:szCs w:val="32"/>
          <w:lang w:eastAsia="zh-CN"/>
        </w:rPr>
      </w:pPr>
      <w:r>
        <w:rPr>
          <w:rFonts w:hint="eastAsia" w:ascii="楷体" w:hAnsi="楷体" w:eastAsia="楷体" w:cs="楷体"/>
          <w:b/>
          <w:bCs/>
          <w:sz w:val="32"/>
          <w:szCs w:val="32"/>
          <w:lang w:eastAsia="zh-CN"/>
        </w:rPr>
        <w:t>（二）用地功能：</w:t>
      </w:r>
      <w:r>
        <w:rPr>
          <w:rFonts w:hint="eastAsia" w:ascii="仿宋_GB2312" w:hAnsi="宋体" w:eastAsia="仿宋_GB2312"/>
          <w:sz w:val="32"/>
          <w:szCs w:val="32"/>
          <w:lang w:eastAsia="zh-CN"/>
        </w:rPr>
        <w:t>普通工业用地（M1）</w:t>
      </w:r>
    </w:p>
    <w:p>
      <w:pPr>
        <w:spacing w:line="560" w:lineRule="exact"/>
        <w:ind w:firstLine="642" w:firstLineChars="200"/>
        <w:jc w:val="both"/>
        <w:outlineLvl w:val="0"/>
        <w:rPr>
          <w:rFonts w:ascii="仿宋_GB2312" w:hAnsi="宋体" w:eastAsia="仿宋_GB2312"/>
          <w:sz w:val="32"/>
          <w:szCs w:val="32"/>
          <w:lang w:eastAsia="zh-CN"/>
        </w:rPr>
      </w:pPr>
      <w:r>
        <w:rPr>
          <w:rFonts w:hint="eastAsia" w:ascii="楷体" w:hAnsi="楷体" w:eastAsia="楷体" w:cs="楷体"/>
          <w:b/>
          <w:bCs/>
          <w:sz w:val="32"/>
          <w:szCs w:val="32"/>
          <w:lang w:eastAsia="zh-CN"/>
        </w:rPr>
        <w:t>（三）建设规模：</w:t>
      </w:r>
      <w:r>
        <w:rPr>
          <w:rFonts w:hint="eastAsia" w:ascii="仿宋_GB2312" w:hAnsi="宋体" w:eastAsia="仿宋_GB2312"/>
          <w:sz w:val="32"/>
          <w:szCs w:val="32"/>
          <w:lang w:eastAsia="zh-CN"/>
        </w:rPr>
        <w:t>94000</w:t>
      </w:r>
      <w:r>
        <w:rPr>
          <w:rFonts w:hint="eastAsia" w:ascii="仿宋_GB2312" w:hAnsi="仿宋_GB2312" w:eastAsia="仿宋_GB2312" w:cs="仿宋_GB2312"/>
          <w:spacing w:val="-6"/>
          <w:sz w:val="32"/>
          <w:szCs w:val="32"/>
          <w:lang w:eastAsia="zh-CN"/>
        </w:rPr>
        <w:t>平方米（以土地出让合同为准）</w:t>
      </w:r>
    </w:p>
    <w:p>
      <w:pPr>
        <w:spacing w:line="560" w:lineRule="exact"/>
        <w:ind w:firstLine="642" w:firstLineChars="200"/>
        <w:jc w:val="both"/>
        <w:rPr>
          <w:rFonts w:ascii="仿宋_GB2312" w:hAnsi="宋体" w:eastAsia="仿宋_GB2312"/>
          <w:sz w:val="32"/>
          <w:szCs w:val="32"/>
          <w:lang w:eastAsia="zh-CN"/>
        </w:rPr>
      </w:pPr>
      <w:r>
        <w:rPr>
          <w:rFonts w:hint="eastAsia" w:ascii="楷体" w:hAnsi="楷体" w:eastAsia="楷体" w:cs="楷体"/>
          <w:b/>
          <w:bCs/>
          <w:sz w:val="32"/>
          <w:szCs w:val="32"/>
          <w:lang w:eastAsia="zh-CN"/>
        </w:rPr>
        <w:t>（四）土地供应方式：</w:t>
      </w:r>
      <w:r>
        <w:rPr>
          <w:rFonts w:hint="eastAsia" w:ascii="仿宋_GB2312" w:hAnsi="宋体" w:eastAsia="仿宋_GB2312"/>
          <w:sz w:val="32"/>
          <w:szCs w:val="32"/>
          <w:lang w:eastAsia="zh-CN"/>
        </w:rPr>
        <w:t>“带产业项目”挂牌出让</w:t>
      </w:r>
    </w:p>
    <w:p>
      <w:pPr>
        <w:spacing w:line="560" w:lineRule="exact"/>
        <w:ind w:firstLine="642" w:firstLineChars="200"/>
        <w:jc w:val="both"/>
        <w:rPr>
          <w:rFonts w:ascii="仿宋_GB2312" w:hAnsi="宋体" w:eastAsia="仿宋_GB2312"/>
          <w:sz w:val="32"/>
          <w:szCs w:val="32"/>
          <w:lang w:eastAsia="zh-CN"/>
        </w:rPr>
      </w:pPr>
      <w:r>
        <w:rPr>
          <w:rFonts w:hint="eastAsia" w:ascii="楷体" w:hAnsi="楷体" w:eastAsia="楷体" w:cs="楷体"/>
          <w:b/>
          <w:bCs/>
          <w:sz w:val="32"/>
          <w:szCs w:val="32"/>
          <w:lang w:eastAsia="zh-CN"/>
        </w:rPr>
        <w:t>（五）期限：</w:t>
      </w:r>
      <w:r>
        <w:rPr>
          <w:rFonts w:hint="eastAsia" w:ascii="仿宋_GB2312" w:hAnsi="宋体" w:eastAsia="仿宋_GB2312"/>
          <w:sz w:val="32"/>
          <w:szCs w:val="32"/>
          <w:lang w:eastAsia="zh-CN"/>
        </w:rPr>
        <w:t>30年</w:t>
      </w:r>
    </w:p>
    <w:p>
      <w:pPr>
        <w:spacing w:line="560" w:lineRule="exact"/>
        <w:ind w:firstLine="642" w:firstLineChars="200"/>
        <w:jc w:val="both"/>
        <w:rPr>
          <w:rFonts w:ascii="仿宋_GB2312" w:hAnsi="宋体" w:eastAsia="仿宋_GB2312"/>
          <w:b/>
          <w:bCs/>
          <w:sz w:val="32"/>
          <w:szCs w:val="32"/>
          <w:lang w:eastAsia="zh-CN"/>
        </w:rPr>
      </w:pPr>
      <w:r>
        <w:rPr>
          <w:rFonts w:hint="eastAsia" w:ascii="楷体" w:hAnsi="楷体" w:eastAsia="楷体" w:cs="楷体"/>
          <w:b/>
          <w:bCs/>
          <w:sz w:val="32"/>
          <w:szCs w:val="32"/>
          <w:lang w:eastAsia="zh-CN"/>
        </w:rPr>
        <w:t>（六）权利限制：</w:t>
      </w:r>
    </w:p>
    <w:p>
      <w:pPr>
        <w:spacing w:line="560" w:lineRule="exact"/>
        <w:ind w:firstLine="640" w:firstLineChars="200"/>
        <w:jc w:val="both"/>
        <w:rPr>
          <w:rFonts w:ascii="仿宋_GB2312" w:hAnsi="宋体" w:eastAsia="仿宋_GB2312"/>
          <w:sz w:val="32"/>
          <w:szCs w:val="32"/>
          <w:lang w:eastAsia="zh-CN"/>
        </w:rPr>
      </w:pPr>
      <w:r>
        <w:rPr>
          <w:rFonts w:hint="eastAsia" w:ascii="仿宋_GB2312" w:hAnsi="宋体" w:eastAsia="仿宋_GB2312"/>
          <w:sz w:val="32"/>
          <w:szCs w:val="32"/>
          <w:lang w:eastAsia="zh-CN"/>
        </w:rPr>
        <w:t>1.项目建设用地使用权及建筑物允许抵押，应以宗地内的所有建筑物进行抵押，但抵押金额不得超出合同剩余年期地价与建筑物的残值之和，项目建设用地使用权及建筑物不得转让；确有出租需要的，出租比例原则上不超过建筑面积的20%，且应当在产业发展监管协议中明确约定租赁面积比例、租金标准、租赁对象及违约处置措施。</w:t>
      </w:r>
    </w:p>
    <w:p>
      <w:pPr>
        <w:spacing w:line="560" w:lineRule="exact"/>
        <w:ind w:firstLine="640" w:firstLineChars="200"/>
        <w:jc w:val="both"/>
        <w:rPr>
          <w:rFonts w:ascii="仿宋_GB2312" w:hAnsi="宋体" w:eastAsia="仿宋_GB2312"/>
          <w:sz w:val="32"/>
          <w:szCs w:val="32"/>
          <w:lang w:eastAsia="zh-CN"/>
        </w:rPr>
      </w:pPr>
      <w:r>
        <w:rPr>
          <w:rFonts w:hint="eastAsia" w:ascii="仿宋_GB2312" w:hAnsi="宋体" w:eastAsia="仿宋_GB2312"/>
          <w:sz w:val="32"/>
          <w:szCs w:val="32"/>
          <w:lang w:eastAsia="zh-CN"/>
        </w:rPr>
        <w:t>2.人民法院强制执行拍卖或者变卖项目建设用地使用权的，次受让人应当承接原国有建设用地使用权出让合同及产业发展监管协议规定的受让人责任及义务，原国有建设用地使用权出让合同约定的土地使用条件不变。人民法院强制执行又无符合条件的次受让人的，其建设用地使用权及地上建（构）筑物由区政府回购。</w:t>
      </w:r>
    </w:p>
    <w:p>
      <w:pPr>
        <w:spacing w:line="560" w:lineRule="exact"/>
        <w:ind w:firstLine="640" w:firstLineChars="200"/>
        <w:jc w:val="both"/>
        <w:rPr>
          <w:rFonts w:ascii="仿宋_GB2312" w:hAnsi="宋体" w:eastAsia="仿宋_GB2312"/>
          <w:sz w:val="32"/>
          <w:szCs w:val="32"/>
          <w:lang w:eastAsia="zh-CN"/>
        </w:rPr>
      </w:pPr>
      <w:r>
        <w:rPr>
          <w:rFonts w:hint="eastAsia" w:ascii="仿宋_GB2312" w:hAnsi="宋体" w:eastAsia="仿宋_GB2312"/>
          <w:sz w:val="32"/>
          <w:szCs w:val="32"/>
          <w:lang w:eastAsia="zh-CN"/>
        </w:rPr>
        <w:t>3.项目建设用地使用权以及附着于该土地上的建（构）筑物及其附属设施不得以股权转让或变更等方式变相转让。</w:t>
      </w:r>
    </w:p>
    <w:p>
      <w:pPr>
        <w:spacing w:line="560" w:lineRule="exact"/>
        <w:ind w:firstLine="642" w:firstLineChars="200"/>
        <w:jc w:val="both"/>
        <w:rPr>
          <w:rFonts w:ascii="仿宋_GB2312" w:hAnsi="宋体" w:eastAsia="仿宋_GB2312"/>
          <w:b/>
          <w:bCs/>
          <w:sz w:val="32"/>
          <w:szCs w:val="32"/>
          <w:lang w:eastAsia="zh-CN"/>
        </w:rPr>
      </w:pPr>
      <w:r>
        <w:rPr>
          <w:rFonts w:hint="eastAsia" w:ascii="楷体" w:hAnsi="楷体" w:eastAsia="楷体" w:cs="楷体"/>
          <w:b/>
          <w:bCs/>
          <w:sz w:val="32"/>
          <w:szCs w:val="32"/>
          <w:lang w:eastAsia="zh-CN"/>
        </w:rPr>
        <w:t>（七）竞买资格条件：</w:t>
      </w:r>
    </w:p>
    <w:p>
      <w:pPr>
        <w:adjustRightInd w:val="0"/>
        <w:snapToGrid w:val="0"/>
        <w:spacing w:line="560" w:lineRule="exact"/>
        <w:ind w:firstLine="640" w:firstLineChars="200"/>
        <w:jc w:val="both"/>
        <w:rPr>
          <w:rFonts w:ascii="仿宋_GB2312" w:hAnsi="宋体" w:eastAsia="仿宋_GB2312"/>
          <w:sz w:val="32"/>
          <w:szCs w:val="32"/>
          <w:lang w:eastAsia="zh-CN"/>
        </w:rPr>
      </w:pPr>
      <w:r>
        <w:rPr>
          <w:rFonts w:hint="eastAsia" w:ascii="仿宋_GB2312" w:hAnsi="宋体" w:eastAsia="仿宋_GB2312"/>
          <w:sz w:val="32"/>
          <w:szCs w:val="32"/>
          <w:lang w:eastAsia="zh-CN"/>
        </w:rPr>
        <w:t>1.竞买申请人为中华人民共和国境内注册的企业法人。</w:t>
      </w:r>
    </w:p>
    <w:p>
      <w:pPr>
        <w:adjustRightInd w:val="0"/>
        <w:snapToGrid w:val="0"/>
        <w:spacing w:line="560" w:lineRule="exact"/>
        <w:ind w:firstLine="640" w:firstLineChars="200"/>
        <w:jc w:val="both"/>
        <w:rPr>
          <w:rFonts w:ascii="仿宋_GB2312" w:hAnsi="宋体" w:eastAsia="仿宋_GB2312"/>
          <w:sz w:val="32"/>
          <w:szCs w:val="32"/>
          <w:lang w:eastAsia="zh-CN"/>
        </w:rPr>
      </w:pPr>
      <w:r>
        <w:rPr>
          <w:rFonts w:hint="eastAsia" w:ascii="仿宋_GB2312" w:hAnsi="宋体" w:eastAsia="仿宋_GB2312"/>
          <w:sz w:val="32"/>
          <w:szCs w:val="32"/>
          <w:lang w:eastAsia="zh-CN"/>
        </w:rPr>
        <w:t>2.竞买申请人应当符合</w:t>
      </w:r>
      <w:r>
        <w:rPr>
          <w:rFonts w:hint="eastAsia" w:ascii="仿宋_GB2312" w:hAnsi="仿宋_GB2312" w:eastAsia="仿宋_GB2312" w:cs="仿宋_GB2312"/>
          <w:sz w:val="32"/>
          <w:szCs w:val="32"/>
          <w:lang w:eastAsia="zh-CN"/>
        </w:rPr>
        <w:t>《深圳市工业及其他产业用地供应管理办法》（深府规〔2019〕4号）、《深圳市人民政府关于延长工业及其他产业用地供应管理办法有效期的通知》（深府规</w:t>
      </w:r>
      <w:r>
        <w:rPr>
          <w:rFonts w:hint="eastAsia" w:ascii="仿宋_GB2312" w:hAnsi="仿宋_GB2312" w:eastAsia="仿宋_GB2312" w:cs="仿宋_GB2312"/>
          <w:sz w:val="32"/>
          <w:szCs w:val="32"/>
          <w:lang w:eastAsia="zh-CN" w:bidi="ar"/>
        </w:rPr>
        <w:t>〔2025〕1号）</w:t>
      </w:r>
      <w:r>
        <w:rPr>
          <w:rFonts w:hint="eastAsia" w:ascii="仿宋_GB2312" w:hAnsi="宋体" w:eastAsia="仿宋_GB2312"/>
          <w:sz w:val="32"/>
          <w:szCs w:val="32"/>
          <w:lang w:eastAsia="zh-CN"/>
        </w:rPr>
        <w:t>等规定的遴选要求，</w:t>
      </w:r>
      <w:r>
        <w:rPr>
          <w:rFonts w:ascii="仿宋_GB2312" w:hAnsi="宋体" w:eastAsia="仿宋_GB2312"/>
          <w:sz w:val="32"/>
          <w:szCs w:val="32"/>
          <w:lang w:eastAsia="zh-CN"/>
        </w:rPr>
        <w:t>并通过重点产业项目遴选</w:t>
      </w:r>
      <w:r>
        <w:rPr>
          <w:rFonts w:hint="eastAsia" w:ascii="仿宋_GB2312" w:hAnsi="宋体" w:eastAsia="仿宋_GB2312"/>
          <w:sz w:val="32"/>
          <w:szCs w:val="32"/>
          <w:lang w:eastAsia="zh-CN"/>
        </w:rPr>
        <w:t>。</w:t>
      </w:r>
    </w:p>
    <w:p>
      <w:pPr>
        <w:spacing w:line="560" w:lineRule="exact"/>
        <w:ind w:firstLine="640" w:firstLineChars="200"/>
        <w:jc w:val="both"/>
        <w:rPr>
          <w:rFonts w:ascii="黑体" w:hAnsi="黑体" w:eastAsia="黑体" w:cs="黑体"/>
          <w:sz w:val="32"/>
          <w:szCs w:val="32"/>
          <w:lang w:eastAsia="zh-CN"/>
        </w:rPr>
      </w:pPr>
      <w:r>
        <w:rPr>
          <w:rFonts w:hint="eastAsia" w:ascii="黑体" w:hAnsi="黑体" w:eastAsia="黑体" w:cs="黑体"/>
          <w:sz w:val="32"/>
          <w:szCs w:val="32"/>
          <w:lang w:eastAsia="zh-CN"/>
        </w:rPr>
        <w:t>六、环境保护要求</w:t>
      </w:r>
    </w:p>
    <w:p>
      <w:pPr>
        <w:spacing w:line="560" w:lineRule="exact"/>
        <w:ind w:firstLine="640" w:firstLineChars="200"/>
        <w:jc w:val="both"/>
        <w:rPr>
          <w:sz w:val="32"/>
          <w:szCs w:val="32"/>
        </w:rPr>
      </w:pPr>
      <w:r>
        <w:rPr>
          <w:rFonts w:hint="eastAsia" w:ascii="仿宋_GB2312" w:hAnsi="宋体" w:eastAsia="仿宋_GB2312"/>
          <w:sz w:val="32"/>
          <w:szCs w:val="32"/>
          <w:lang w:eastAsia="zh-CN"/>
        </w:rPr>
        <w:t>在生产过程中，粉尘、废水、废气、废渣、噪声等排放和产生符合国家、省、市环保政策和法律法规的标准和要求。</w:t>
      </w:r>
    </w:p>
    <w:sectPr>
      <w:footerReference r:id="rId3" w:type="default"/>
      <w:pgSz w:w="11906" w:h="16838"/>
      <w:pgMar w:top="2098" w:right="1474" w:bottom="1984" w:left="1587" w:header="851" w:footer="992" w:gutter="0"/>
      <w:cols w:space="720"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roman"/>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仿宋_GB2312">
    <w:altName w:val="方正仿宋_GBK"/>
    <w:panose1 w:val="02010609030001010101"/>
    <w:charset w:val="00"/>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楷体">
    <w:altName w:val="方正楷体_GBK"/>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00000001" w:usb1="08000000" w:usb2="00000000" w:usb3="00000000" w:csb0="00040000" w:csb1="00000000"/>
  </w:font>
  <w:font w:name="等线">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 PAGE   \* MERGEFORMAT </w:instrText>
    </w:r>
    <w:r>
      <w:fldChar w:fldCharType="separate"/>
    </w:r>
    <w:r>
      <w:rPr>
        <w:lang w:val="zh-CN"/>
      </w:rPr>
      <w:t>7</w:t>
    </w:r>
    <w:r>
      <w:fldChar w:fldCharType="end"/>
    </w:r>
  </w:p>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displayBackgroundShape w:val="1"/>
  <w:bordersDoNotSurroundHeader w:val="1"/>
  <w:bordersDoNotSurroundFooter w:val="1"/>
  <w:revisionView w:markup="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433"/>
    <w:rsid w:val="00040D5D"/>
    <w:rsid w:val="001079BE"/>
    <w:rsid w:val="001D4F3F"/>
    <w:rsid w:val="0024530E"/>
    <w:rsid w:val="003357D8"/>
    <w:rsid w:val="00423C81"/>
    <w:rsid w:val="00427838"/>
    <w:rsid w:val="007661FB"/>
    <w:rsid w:val="00B832CB"/>
    <w:rsid w:val="00DB0433"/>
    <w:rsid w:val="00ED784D"/>
    <w:rsid w:val="051E25B2"/>
    <w:rsid w:val="08717E64"/>
    <w:rsid w:val="096019CA"/>
    <w:rsid w:val="0C234952"/>
    <w:rsid w:val="0E5721EA"/>
    <w:rsid w:val="13647232"/>
    <w:rsid w:val="15910B7E"/>
    <w:rsid w:val="1BB455C7"/>
    <w:rsid w:val="1FF7ED8F"/>
    <w:rsid w:val="20914128"/>
    <w:rsid w:val="248B788D"/>
    <w:rsid w:val="270F7B55"/>
    <w:rsid w:val="27EBC08F"/>
    <w:rsid w:val="29F319B0"/>
    <w:rsid w:val="2B996587"/>
    <w:rsid w:val="2C477D91"/>
    <w:rsid w:val="2F4D3910"/>
    <w:rsid w:val="2F57653D"/>
    <w:rsid w:val="2FD1009E"/>
    <w:rsid w:val="30DF69CC"/>
    <w:rsid w:val="311A3CC6"/>
    <w:rsid w:val="3304078A"/>
    <w:rsid w:val="365270CC"/>
    <w:rsid w:val="37BD8494"/>
    <w:rsid w:val="37D22956"/>
    <w:rsid w:val="37FA215C"/>
    <w:rsid w:val="3C2B322B"/>
    <w:rsid w:val="3CA36A35"/>
    <w:rsid w:val="3CA8487C"/>
    <w:rsid w:val="3CB5698B"/>
    <w:rsid w:val="3D6B7776"/>
    <w:rsid w:val="3DF633C5"/>
    <w:rsid w:val="3E7A6362"/>
    <w:rsid w:val="3F0C144A"/>
    <w:rsid w:val="3F7EE15E"/>
    <w:rsid w:val="3FEEC6FD"/>
    <w:rsid w:val="40D4166E"/>
    <w:rsid w:val="45AD6A5F"/>
    <w:rsid w:val="489B5295"/>
    <w:rsid w:val="490D6F22"/>
    <w:rsid w:val="4C3E6663"/>
    <w:rsid w:val="4EC93A4C"/>
    <w:rsid w:val="4F257C29"/>
    <w:rsid w:val="4F9111A0"/>
    <w:rsid w:val="55476AC9"/>
    <w:rsid w:val="58E865B5"/>
    <w:rsid w:val="58F72073"/>
    <w:rsid w:val="59E7033A"/>
    <w:rsid w:val="59EA7E2A"/>
    <w:rsid w:val="5B392E17"/>
    <w:rsid w:val="5C043425"/>
    <w:rsid w:val="5C1D5B1C"/>
    <w:rsid w:val="5E8048B9"/>
    <w:rsid w:val="5EB822A5"/>
    <w:rsid w:val="5EDD52DA"/>
    <w:rsid w:val="5F8D3732"/>
    <w:rsid w:val="5FCA6734"/>
    <w:rsid w:val="618138BA"/>
    <w:rsid w:val="625B18C5"/>
    <w:rsid w:val="63115B06"/>
    <w:rsid w:val="63FC5AE3"/>
    <w:rsid w:val="655B398A"/>
    <w:rsid w:val="65780FD7"/>
    <w:rsid w:val="67010C05"/>
    <w:rsid w:val="68000819"/>
    <w:rsid w:val="681C1AF7"/>
    <w:rsid w:val="687E00BB"/>
    <w:rsid w:val="6B00533C"/>
    <w:rsid w:val="6B141D4A"/>
    <w:rsid w:val="6D56066E"/>
    <w:rsid w:val="6E421B8B"/>
    <w:rsid w:val="6FF7CCF8"/>
    <w:rsid w:val="70E76A1A"/>
    <w:rsid w:val="7438313B"/>
    <w:rsid w:val="744E5CBB"/>
    <w:rsid w:val="75211DD9"/>
    <w:rsid w:val="76F9AED3"/>
    <w:rsid w:val="77D7E660"/>
    <w:rsid w:val="79627585"/>
    <w:rsid w:val="797177C8"/>
    <w:rsid w:val="79764DDF"/>
    <w:rsid w:val="79E955B1"/>
    <w:rsid w:val="7B379C56"/>
    <w:rsid w:val="7BB7AC80"/>
    <w:rsid w:val="7BF59AD2"/>
    <w:rsid w:val="7CB747E2"/>
    <w:rsid w:val="7DDCB427"/>
    <w:rsid w:val="7DDF4F26"/>
    <w:rsid w:val="7E795155"/>
    <w:rsid w:val="7F3A7873"/>
    <w:rsid w:val="7F5E5463"/>
    <w:rsid w:val="7FBE6D24"/>
    <w:rsid w:val="7FBF1E7C"/>
    <w:rsid w:val="7FDF8976"/>
    <w:rsid w:val="869F9926"/>
    <w:rsid w:val="8F7F1B1A"/>
    <w:rsid w:val="AEAE8824"/>
    <w:rsid w:val="BBCECD68"/>
    <w:rsid w:val="BFBB35E9"/>
    <w:rsid w:val="CABE918F"/>
    <w:rsid w:val="D7B70547"/>
    <w:rsid w:val="DFFF1B3D"/>
    <w:rsid w:val="DFFF9FD3"/>
    <w:rsid w:val="E36ED29A"/>
    <w:rsid w:val="E73796B5"/>
    <w:rsid w:val="ED3BE60A"/>
    <w:rsid w:val="F3FDF508"/>
    <w:rsid w:val="F5CFD14D"/>
    <w:rsid w:val="F79F07AF"/>
    <w:rsid w:val="F95C8933"/>
    <w:rsid w:val="FBB3E8DC"/>
    <w:rsid w:val="FD6F70EE"/>
    <w:rsid w:val="FEED9A1D"/>
    <w:rsid w:val="FEEDB334"/>
    <w:rsid w:val="FEF7A62D"/>
    <w:rsid w:val="FFF70366"/>
    <w:rsid w:val="FFF724D3"/>
    <w:rsid w:val="FFFD3F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99" w:semiHidden="0" w:name="heading 1"/>
    <w:lsdException w:uiPriority="99" w:name="heading 2"/>
    <w:lsdException w:uiPriority="99" w:name="heading 3"/>
    <w:lsdException w:qFormat="1" w:unhideWhenUsed="0" w:uiPriority="0"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99" w:semiHidden="0" w:name="Subtitle"/>
    <w:lsdException w:uiPriority="99" w:name="Salutation"/>
    <w:lsdException w:uiPriority="99"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unhideWhenUsed="0" w:uiPriority="99" w:semiHidden="0" w:name="Strong"/>
    <w:lsdException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pPr>
    <w:rPr>
      <w:rFonts w:ascii="Times New Roman" w:hAnsi="Times New Roman" w:eastAsia="宋体" w:cs="Times New Roman"/>
      <w:kern w:val="2"/>
      <w:sz w:val="24"/>
      <w:szCs w:val="24"/>
      <w:lang w:val="en-US" w:eastAsia="zh-TW" w:bidi="ar-SA"/>
    </w:rPr>
  </w:style>
  <w:style w:type="paragraph" w:styleId="5">
    <w:name w:val="heading 4"/>
    <w:next w:val="1"/>
    <w:qFormat/>
    <w:uiPriority w:val="0"/>
    <w:pPr>
      <w:spacing w:before="260" w:after="120" w:line="288" w:lineRule="auto"/>
      <w:outlineLvl w:val="3"/>
    </w:pPr>
    <w:rPr>
      <w:rFonts w:ascii="Arial" w:hAnsi="Arial" w:eastAsia="等线" w:cs="Arial"/>
      <w:b/>
      <w:bCs/>
      <w:sz w:val="28"/>
      <w:szCs w:val="28"/>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6"/>
    <w:semiHidden/>
    <w:unhideWhenUsed/>
    <w:qFormat/>
    <w:uiPriority w:val="99"/>
    <w:pPr>
      <w:spacing w:after="120"/>
    </w:pPr>
  </w:style>
  <w:style w:type="paragraph" w:styleId="3">
    <w:name w:val="Body Text First Indent 2"/>
    <w:basedOn w:val="4"/>
    <w:qFormat/>
    <w:uiPriority w:val="0"/>
    <w:pPr>
      <w:ind w:firstLine="420" w:firstLineChars="200"/>
    </w:pPr>
  </w:style>
  <w:style w:type="paragraph" w:styleId="4">
    <w:name w:val="Body Text Indent"/>
    <w:basedOn w:val="1"/>
    <w:qFormat/>
    <w:uiPriority w:val="0"/>
    <w:pPr>
      <w:spacing w:after="120"/>
      <w:ind w:left="420" w:leftChars="200"/>
    </w:pPr>
  </w:style>
  <w:style w:type="paragraph" w:styleId="6">
    <w:name w:val="footer"/>
    <w:basedOn w:val="1"/>
    <w:link w:val="14"/>
    <w:unhideWhenUsed/>
    <w:qFormat/>
    <w:uiPriority w:val="99"/>
    <w:pPr>
      <w:tabs>
        <w:tab w:val="center" w:pos="4153"/>
        <w:tab w:val="right" w:pos="8306"/>
      </w:tabs>
      <w:snapToGrid w:val="0"/>
    </w:pPr>
    <w:rPr>
      <w:rFonts w:asciiTheme="minorHAnsi" w:hAnsiTheme="minorHAnsi" w:eastAsiaTheme="minorEastAsia" w:cstheme="minorBidi"/>
      <w:sz w:val="18"/>
      <w:szCs w:val="18"/>
      <w:lang w:eastAsia="zh-CN"/>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lang w:eastAsia="zh-CN"/>
    </w:rPr>
  </w:style>
  <w:style w:type="paragraph" w:styleId="8">
    <w:name w:val="HTML Preformatted"/>
    <w:basedOn w:val="1"/>
    <w:link w:val="15"/>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宋体" w:hAnsi="宋体"/>
      <w:kern w:val="0"/>
      <w:lang w:eastAsia="zh-CN"/>
    </w:rPr>
  </w:style>
  <w:style w:type="paragraph" w:styleId="9">
    <w:name w:val="Title"/>
    <w:qFormat/>
    <w:uiPriority w:val="0"/>
    <w:pPr>
      <w:spacing w:before="480" w:after="480" w:line="288" w:lineRule="auto"/>
    </w:pPr>
    <w:rPr>
      <w:rFonts w:ascii="Arial" w:hAnsi="Arial" w:eastAsia="等线" w:cs="Arial"/>
      <w:b/>
      <w:bCs/>
      <w:sz w:val="52"/>
      <w:szCs w:val="52"/>
      <w:lang w:val="en-US" w:eastAsia="zh-CN" w:bidi="ar-SA"/>
    </w:rPr>
  </w:style>
  <w:style w:type="paragraph" w:styleId="10">
    <w:name w:val="Body Text First Indent"/>
    <w:basedOn w:val="2"/>
    <w:link w:val="17"/>
    <w:unhideWhenUsed/>
    <w:qFormat/>
    <w:uiPriority w:val="99"/>
    <w:pPr>
      <w:ind w:firstLine="420" w:firstLineChars="100"/>
    </w:pPr>
  </w:style>
  <w:style w:type="character" w:customStyle="1" w:styleId="13">
    <w:name w:val="页眉 字符"/>
    <w:basedOn w:val="12"/>
    <w:link w:val="7"/>
    <w:qFormat/>
    <w:uiPriority w:val="99"/>
    <w:rPr>
      <w:sz w:val="18"/>
      <w:szCs w:val="18"/>
    </w:rPr>
  </w:style>
  <w:style w:type="character" w:customStyle="1" w:styleId="14">
    <w:name w:val="页脚 字符"/>
    <w:basedOn w:val="12"/>
    <w:link w:val="6"/>
    <w:qFormat/>
    <w:uiPriority w:val="99"/>
    <w:rPr>
      <w:sz w:val="18"/>
      <w:szCs w:val="18"/>
    </w:rPr>
  </w:style>
  <w:style w:type="character" w:customStyle="1" w:styleId="15">
    <w:name w:val="HTML 预设格式 字符"/>
    <w:basedOn w:val="12"/>
    <w:link w:val="8"/>
    <w:qFormat/>
    <w:uiPriority w:val="0"/>
    <w:rPr>
      <w:rFonts w:ascii="宋体" w:hAnsi="宋体" w:eastAsia="宋体" w:cs="Times New Roman"/>
      <w:kern w:val="0"/>
      <w:sz w:val="24"/>
      <w:szCs w:val="24"/>
    </w:rPr>
  </w:style>
  <w:style w:type="character" w:customStyle="1" w:styleId="16">
    <w:name w:val="正文文本 字符"/>
    <w:basedOn w:val="12"/>
    <w:link w:val="2"/>
    <w:semiHidden/>
    <w:qFormat/>
    <w:uiPriority w:val="99"/>
    <w:rPr>
      <w:rFonts w:ascii="Times New Roman" w:hAnsi="Times New Roman" w:eastAsia="宋体" w:cs="Times New Roman"/>
      <w:sz w:val="24"/>
      <w:szCs w:val="24"/>
      <w:lang w:eastAsia="zh-TW"/>
    </w:rPr>
  </w:style>
  <w:style w:type="character" w:customStyle="1" w:styleId="17">
    <w:name w:val="正文首行缩进 字符"/>
    <w:basedOn w:val="16"/>
    <w:link w:val="10"/>
    <w:qFormat/>
    <w:uiPriority w:val="99"/>
    <w:rPr>
      <w:rFonts w:ascii="Times New Roman" w:hAnsi="Times New Roman" w:eastAsia="宋体" w:cs="Times New Roman"/>
      <w:sz w:val="24"/>
      <w:szCs w:val="24"/>
      <w:lang w:eastAsia="zh-TW"/>
    </w:rPr>
  </w:style>
  <w:style w:type="paragraph" w:customStyle="1" w:styleId="18">
    <w:name w:val="正文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19">
    <w:name w:val="PlainText"/>
    <w:qFormat/>
    <w:uiPriority w:val="0"/>
    <w:pPr>
      <w:widowControl w:val="0"/>
      <w:jc w:val="both"/>
    </w:pPr>
    <w:rPr>
      <w:rFonts w:ascii="宋体" w:hAnsi="Courier New" w:eastAsia="宋体" w:cs="Times New Roman"/>
      <w:kern w:val="2"/>
      <w:sz w:val="21"/>
      <w:szCs w:val="24"/>
      <w:lang w:val="en-US" w:eastAsia="zh-CN" w:bidi="ar-SA"/>
    </w:rPr>
  </w:style>
  <w:style w:type="paragraph" w:customStyle="1" w:styleId="20">
    <w:name w:val="公文写作"/>
    <w:basedOn w:val="1"/>
    <w:qFormat/>
    <w:uiPriority w:val="0"/>
    <w:pPr>
      <w:spacing w:line="560" w:lineRule="exact"/>
      <w:ind w:firstLine="200" w:firstLineChars="200"/>
    </w:pPr>
    <w:rPr>
      <w:rFonts w:ascii="仿宋_GB2312" w:hAnsi="仿宋_GB2312" w:eastAsia="仿宋_GB2312" w:cs="仿宋_GB2312"/>
      <w:kern w:val="0"/>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2762</Words>
  <Characters>2929</Characters>
  <Lines>21</Lines>
  <Paragraphs>6</Paragraphs>
  <TotalTime>23</TotalTime>
  <ScaleCrop>false</ScaleCrop>
  <LinksUpToDate>false</LinksUpToDate>
  <CharactersWithSpaces>2969</CharactersWithSpaces>
  <Application>WPS Office_11.8.2.11625_F1E327BC-269C-435d-A152-05C5408002CA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2025-08-13T17:00:00Z</dcterms:created>
  <dc:creator>mx7095</dc:creator>
  <cp:lastModifiedBy>工业和信息化局</cp:lastModifiedBy>
  <cp:lastPrinted>2025-10-20T15:21:00Z</cp:lastPrinted>
  <dcterms:modified xsi:type="dcterms:W3CDTF">2026-02-09T10:26:09Z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2052-11.8.2.11625</vt:lpwstr>
  </property>
  <property fmtid="{D5CDD505-2E9C-101B-9397-08002B2CF9AE}" pid="3" name="ICV">
    <vt:lpwstr>212B5FA04FC34E5E8D2C67F6D0A9C756_13</vt:lpwstr>
  </property>
  <property fmtid="{D5CDD505-2E9C-101B-9397-08002B2CF9AE}" pid="4" name="KSOTemplateDocerSaveRecord">
    <vt:lpwstr>eyJoZGlkIjoiZDFmYTExZWVkMzFiMzc4MDEwOTE0OGJhYzNlYzcwOTQiLCJ1c2VySWQiOiI0NDEyNDMwNjQifQ==</vt:lpwstr>
  </property>
</Properties>
</file>