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12BEB">
      <w:pPr>
        <w:pageBreakBefore w:val="0"/>
        <w:kinsoku/>
        <w:topLinePunct w:val="0"/>
        <w:autoSpaceDE/>
        <w:autoSpaceDN/>
        <w:bidi w:val="0"/>
        <w:spacing w:line="360" w:lineRule="auto"/>
        <w:jc w:val="center"/>
        <w:rPr>
          <w:rFonts w:hint="eastAsia" w:ascii="黑体" w:hAnsi="黑体" w:eastAsia="黑体"/>
          <w:color w:val="000000" w:themeColor="text1"/>
          <w:spacing w:val="0"/>
          <w:sz w:val="44"/>
          <w:szCs w:val="48"/>
          <w:highlight w:val="none"/>
          <w14:textFill>
            <w14:solidFill>
              <w14:schemeClr w14:val="tx1"/>
            </w14:solidFill>
          </w14:textFill>
        </w:rPr>
      </w:pPr>
    </w:p>
    <w:p w14:paraId="6E7306E4">
      <w:pPr>
        <w:pStyle w:val="2"/>
        <w:rPr>
          <w:rFonts w:hint="eastAsia"/>
        </w:rPr>
      </w:pPr>
    </w:p>
    <w:p w14:paraId="73948903">
      <w:pPr>
        <w:pageBreakBefore w:val="0"/>
        <w:kinsoku/>
        <w:topLinePunct w:val="0"/>
        <w:autoSpaceDE/>
        <w:autoSpaceDN/>
        <w:bidi w:val="0"/>
        <w:spacing w:line="360" w:lineRule="auto"/>
        <w:jc w:val="center"/>
        <w:rPr>
          <w:rFonts w:hint="eastAsia" w:ascii="黑体" w:hAnsi="黑体" w:eastAsia="黑体"/>
          <w:color w:val="000000" w:themeColor="text1"/>
          <w:spacing w:val="0"/>
          <w:sz w:val="44"/>
          <w:szCs w:val="48"/>
          <w:highlight w:val="none"/>
          <w14:textFill>
            <w14:solidFill>
              <w14:schemeClr w14:val="tx1"/>
            </w14:solidFill>
          </w14:textFill>
        </w:rPr>
      </w:pPr>
    </w:p>
    <w:p w14:paraId="07851233">
      <w:pPr>
        <w:pageBreakBefore w:val="0"/>
        <w:kinsoku/>
        <w:topLinePunct w:val="0"/>
        <w:autoSpaceDE/>
        <w:autoSpaceDN/>
        <w:bidi w:val="0"/>
        <w:spacing w:line="360" w:lineRule="auto"/>
        <w:jc w:val="center"/>
        <w:rPr>
          <w:rFonts w:hint="eastAsia" w:ascii="黑体" w:hAnsi="黑体" w:eastAsia="黑体"/>
          <w:color w:val="000000" w:themeColor="text1"/>
          <w:spacing w:val="0"/>
          <w:sz w:val="44"/>
          <w:szCs w:val="48"/>
          <w:highlight w:val="none"/>
          <w14:textFill>
            <w14:solidFill>
              <w14:schemeClr w14:val="tx1"/>
            </w14:solidFill>
          </w14:textFill>
        </w:rPr>
      </w:pPr>
    </w:p>
    <w:p w14:paraId="74E731CB">
      <w:pPr>
        <w:pageBreakBefore w:val="0"/>
        <w:kinsoku/>
        <w:topLinePunct w:val="0"/>
        <w:autoSpaceDE/>
        <w:autoSpaceDN/>
        <w:bidi w:val="0"/>
        <w:spacing w:line="360" w:lineRule="auto"/>
        <w:jc w:val="center"/>
        <w:rPr>
          <w:rFonts w:hint="eastAsia" w:ascii="黑体" w:hAnsi="黑体" w:eastAsia="黑体"/>
          <w:color w:val="000000" w:themeColor="text1"/>
          <w:spacing w:val="0"/>
          <w:sz w:val="44"/>
          <w:szCs w:val="48"/>
          <w:highlight w:val="none"/>
          <w14:textFill>
            <w14:solidFill>
              <w14:schemeClr w14:val="tx1"/>
            </w14:solidFill>
          </w14:textFill>
        </w:rPr>
      </w:pPr>
    </w:p>
    <w:p w14:paraId="0B45FD50">
      <w:pPr>
        <w:keepNext w:val="0"/>
        <w:keepLines w:val="0"/>
        <w:pageBreakBefore w:val="0"/>
        <w:widowControl w:val="0"/>
        <w:kinsoku/>
        <w:wordWrap/>
        <w:overflowPunct/>
        <w:topLinePunct w:val="0"/>
        <w:autoSpaceDE/>
        <w:autoSpaceDN/>
        <w:bidi w:val="0"/>
        <w:spacing w:line="360" w:lineRule="auto"/>
        <w:jc w:val="center"/>
        <w:outlineLvl w:val="0"/>
        <w:rPr>
          <w:rFonts w:hint="eastAsia" w:ascii="方正小标宋简体" w:hAnsi="Times New Roman" w:eastAsia="方正小标宋简体"/>
          <w:bCs/>
          <w:color w:val="000000" w:themeColor="text1"/>
          <w:spacing w:val="0"/>
          <w:sz w:val="52"/>
          <w:szCs w:val="96"/>
          <w:highlight w:val="none"/>
          <w14:textFill>
            <w14:solidFill>
              <w14:schemeClr w14:val="tx1"/>
            </w14:solidFill>
          </w14:textFill>
        </w:rPr>
      </w:pPr>
      <w:bookmarkStart w:id="0" w:name="_Toc14050"/>
      <w:bookmarkStart w:id="1" w:name="_Toc20369"/>
      <w:bookmarkStart w:id="2" w:name="_Toc11428"/>
      <w:bookmarkStart w:id="3" w:name="_Toc7783"/>
      <w:bookmarkStart w:id="4" w:name="_Toc5223"/>
      <w:bookmarkStart w:id="5" w:name="_Toc4166"/>
      <w:bookmarkStart w:id="6" w:name="_Toc1927"/>
      <w:bookmarkStart w:id="7" w:name="_Toc25760"/>
      <w:bookmarkStart w:id="8" w:name="_Toc24224"/>
      <w:bookmarkStart w:id="9" w:name="_Toc5585"/>
      <w:bookmarkStart w:id="10" w:name="_Toc24924"/>
      <w:bookmarkStart w:id="11" w:name="_Toc15771"/>
      <w:bookmarkStart w:id="12" w:name="_Toc18470"/>
      <w:bookmarkStart w:id="13" w:name="_Toc16107"/>
      <w:bookmarkStart w:id="14" w:name="_Tocsuovt7"/>
      <w:r>
        <w:rPr>
          <w:rFonts w:hint="eastAsia" w:ascii="方正小标宋简体" w:hAnsi="Times New Roman" w:eastAsia="方正小标宋简体"/>
          <w:bCs/>
          <w:color w:val="000000" w:themeColor="text1"/>
          <w:spacing w:val="0"/>
          <w:sz w:val="52"/>
          <w:szCs w:val="96"/>
          <w:highlight w:val="none"/>
          <w:lang w:val="en-US" w:eastAsia="zh-CN"/>
          <w14:textFill>
            <w14:solidFill>
              <w14:schemeClr w14:val="tx1"/>
            </w14:solidFill>
          </w14:textFill>
        </w:rPr>
        <w:t>深圳市宝安区</w:t>
      </w:r>
      <w:r>
        <w:rPr>
          <w:rFonts w:hint="eastAsia" w:ascii="方正小标宋简体" w:hAnsi="Times New Roman" w:eastAsia="方正小标宋简体"/>
          <w:bCs/>
          <w:color w:val="000000" w:themeColor="text1"/>
          <w:spacing w:val="0"/>
          <w:sz w:val="52"/>
          <w:szCs w:val="96"/>
          <w:highlight w:val="none"/>
          <w14:textFill>
            <w14:solidFill>
              <w14:schemeClr w14:val="tx1"/>
            </w14:solidFill>
          </w14:textFill>
        </w:rPr>
        <w:t>民政事业发展“十</w:t>
      </w:r>
      <w:r>
        <w:rPr>
          <w:rFonts w:hint="eastAsia" w:ascii="方正小标宋简体" w:hAnsi="Times New Roman" w:eastAsia="方正小标宋简体"/>
          <w:bCs/>
          <w:color w:val="000000" w:themeColor="text1"/>
          <w:spacing w:val="0"/>
          <w:sz w:val="52"/>
          <w:szCs w:val="96"/>
          <w:highlight w:val="none"/>
          <w:lang w:val="en-US" w:eastAsia="zh-CN"/>
          <w14:textFill>
            <w14:solidFill>
              <w14:schemeClr w14:val="tx1"/>
            </w14:solidFill>
          </w14:textFill>
        </w:rPr>
        <w:t>五</w:t>
      </w:r>
      <w:r>
        <w:rPr>
          <w:rFonts w:hint="eastAsia" w:ascii="方正小标宋简体" w:hAnsi="Times New Roman" w:eastAsia="方正小标宋简体"/>
          <w:bCs/>
          <w:color w:val="000000" w:themeColor="text1"/>
          <w:spacing w:val="0"/>
          <w:sz w:val="52"/>
          <w:szCs w:val="96"/>
          <w:highlight w:val="none"/>
          <w14:textFill>
            <w14:solidFill>
              <w14:schemeClr w14:val="tx1"/>
            </w14:solidFill>
          </w14:textFill>
        </w:rPr>
        <w:t>五”规划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F400B6A">
      <w:pPr>
        <w:ind w:firstLine="0" w:firstLineChars="0"/>
        <w:jc w:val="center"/>
        <w:rPr>
          <w:rFonts w:hint="eastAsia" w:ascii="楷体_GB2312" w:hAnsi="楷体_GB2312" w:eastAsia="楷体_GB2312" w:cs="楷体_GB2312"/>
          <w:b w:val="0"/>
          <w:bCs/>
          <w:sz w:val="48"/>
          <w:szCs w:val="48"/>
          <w:lang w:eastAsia="zh-CN"/>
        </w:rPr>
      </w:pPr>
      <w:r>
        <w:rPr>
          <w:rFonts w:hint="eastAsia" w:ascii="楷体_GB2312" w:hAnsi="楷体_GB2312" w:eastAsia="楷体_GB2312" w:cs="楷体_GB2312"/>
          <w:b w:val="0"/>
          <w:bCs/>
          <w:sz w:val="48"/>
          <w:szCs w:val="48"/>
          <w:lang w:eastAsia="zh-CN"/>
        </w:rPr>
        <w:t>（征求意见稿）</w:t>
      </w:r>
    </w:p>
    <w:p w14:paraId="73C008AE">
      <w:pPr>
        <w:pStyle w:val="4"/>
        <w:pageBreakBefore w:val="0"/>
        <w:kinsoku/>
        <w:topLinePunct w:val="0"/>
        <w:autoSpaceDE/>
        <w:autoSpaceDN/>
        <w:bidi w:val="0"/>
        <w:spacing w:line="360" w:lineRule="auto"/>
        <w:outlineLvl w:val="9"/>
        <w:rPr>
          <w:rFonts w:hint="eastAsia"/>
          <w:color w:val="000000" w:themeColor="text1"/>
          <w:highlight w:val="none"/>
          <w14:textFill>
            <w14:solidFill>
              <w14:schemeClr w14:val="tx1"/>
            </w14:solidFill>
          </w14:textFill>
        </w:rPr>
      </w:pPr>
    </w:p>
    <w:p w14:paraId="2AE30BFF">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3CFB8E32">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62EEFFE1">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10104F48">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76D9233D">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06357770">
      <w:pPr>
        <w:pageBreakBefore w:val="0"/>
        <w:kinsoku/>
        <w:topLinePunct w:val="0"/>
        <w:autoSpaceDE/>
        <w:autoSpaceDN/>
        <w:bidi w:val="0"/>
        <w:spacing w:line="360" w:lineRule="auto"/>
        <w:jc w:val="center"/>
        <w:rPr>
          <w:rFonts w:hint="eastAsia" w:ascii="Times New Roman" w:hAnsi="Times New Roman" w:eastAsia="华文中宋"/>
          <w:color w:val="000000" w:themeColor="text1"/>
          <w:spacing w:val="0"/>
          <w:sz w:val="36"/>
          <w:szCs w:val="36"/>
          <w:highlight w:val="none"/>
          <w14:textFill>
            <w14:solidFill>
              <w14:schemeClr w14:val="tx1"/>
            </w14:solidFill>
          </w14:textFill>
        </w:rPr>
      </w:pPr>
    </w:p>
    <w:p w14:paraId="017B76B7">
      <w:pPr>
        <w:pageBreakBefore w:val="0"/>
        <w:kinsoku/>
        <w:topLinePunct w:val="0"/>
        <w:autoSpaceDE/>
        <w:autoSpaceDN/>
        <w:bidi w:val="0"/>
        <w:spacing w:line="360" w:lineRule="auto"/>
        <w:jc w:val="center"/>
        <w:rPr>
          <w:rFonts w:hint="eastAsia" w:ascii="仿宋_GB2312" w:hAnsi="Times New Roman" w:eastAsia="仿宋_GB2312"/>
          <w:color w:val="000000" w:themeColor="text1"/>
          <w:spacing w:val="0"/>
          <w:sz w:val="36"/>
          <w:szCs w:val="36"/>
          <w:highlight w:val="none"/>
          <w14:textFill>
            <w14:solidFill>
              <w14:schemeClr w14:val="tx1"/>
            </w14:solidFill>
          </w14:textFill>
        </w:rPr>
      </w:pPr>
    </w:p>
    <w:p w14:paraId="205E581F">
      <w:pPr>
        <w:pageBreakBefore w:val="0"/>
        <w:kinsoku/>
        <w:topLinePunct w:val="0"/>
        <w:autoSpaceDE/>
        <w:autoSpaceDN/>
        <w:bidi w:val="0"/>
        <w:spacing w:line="360" w:lineRule="auto"/>
        <w:jc w:val="center"/>
        <w:rPr>
          <w:rFonts w:hint="eastAsia" w:ascii="方正小标宋简体" w:hAnsi="方正小标宋简体" w:eastAsia="方正小标宋简体" w:cs="方正小标宋简体"/>
          <w:color w:val="000000" w:themeColor="text1"/>
          <w:sz w:val="32"/>
          <w:szCs w:val="32"/>
          <w:highlight w:val="none"/>
          <w:lang w:val="en-US" w:eastAsia="zh-CN"/>
          <w14:textFill>
            <w14:solidFill>
              <w14:schemeClr w14:val="tx1"/>
            </w14:solidFill>
          </w14:textFill>
        </w:rPr>
      </w:pPr>
    </w:p>
    <w:p w14:paraId="1BC0134E">
      <w:pPr>
        <w:pStyle w:val="18"/>
        <w:pageBreakBefore w:val="0"/>
        <w:kinsoku/>
        <w:topLinePunct w:val="0"/>
        <w:autoSpaceDE/>
        <w:autoSpaceDN/>
        <w:bidi w:val="0"/>
        <w:spacing w:line="360" w:lineRule="auto"/>
        <w:rPr>
          <w:rFonts w:hint="eastAsia" w:ascii="方正小标宋简体" w:hAnsi="方正小标宋简体" w:eastAsia="方正小标宋简体" w:cs="方正小标宋简体"/>
          <w:color w:val="000000" w:themeColor="text1"/>
          <w:sz w:val="32"/>
          <w:szCs w:val="32"/>
          <w:highlight w:val="none"/>
          <w:lang w:val="en-US" w:eastAsia="zh-CN"/>
          <w14:textFill>
            <w14:solidFill>
              <w14:schemeClr w14:val="tx1"/>
            </w14:solidFill>
          </w14:textFill>
        </w:rPr>
        <w:sectPr>
          <w:headerReference r:id="rId4" w:type="default"/>
          <w:footerReference r:id="rId5" w:type="default"/>
          <w:pgSz w:w="11906" w:h="16838"/>
          <w:pgMar w:top="1440" w:right="1800" w:bottom="1440" w:left="1800" w:header="851" w:footer="992" w:gutter="0"/>
          <w:pgNumType w:start="1"/>
          <w:cols w:space="720" w:num="1"/>
          <w:docGrid w:type="linesAndChars" w:linePitch="312" w:charSpace="0"/>
        </w:sectPr>
      </w:pPr>
    </w:p>
    <w:p w14:paraId="6B595168">
      <w:pPr>
        <w:spacing w:before="0" w:beforeLines="0" w:after="0" w:afterLines="0" w:line="240" w:lineRule="auto"/>
        <w:ind w:left="0" w:leftChars="0" w:right="0" w:rightChars="0" w:firstLine="0" w:firstLineChars="0"/>
        <w:jc w:val="center"/>
        <w:rPr>
          <w:rFonts w:hint="eastAsia" w:ascii="黑体" w:hAnsi="黑体" w:eastAsia="黑体" w:cs="黑体"/>
          <w:color w:val="auto"/>
          <w:sz w:val="44"/>
          <w:szCs w:val="44"/>
          <w:u w:val="none"/>
        </w:rPr>
      </w:pPr>
      <w:r>
        <w:rPr>
          <w:rFonts w:hint="eastAsia" w:ascii="黑体" w:hAnsi="黑体" w:eastAsia="黑体" w:cs="黑体"/>
          <w:color w:val="auto"/>
          <w:sz w:val="44"/>
          <w:szCs w:val="44"/>
          <w:u w:val="none"/>
        </w:rPr>
        <w:t>目录</w:t>
      </w:r>
    </w:p>
    <w:p w14:paraId="25F54332">
      <w:pPr>
        <w:pStyle w:val="14"/>
        <w:tabs>
          <w:tab w:val="right" w:leader="dot" w:pos="8306"/>
        </w:tabs>
      </w:pPr>
      <w:r>
        <w:fldChar w:fldCharType="begin"/>
      </w:r>
      <w:r>
        <w:instrText xml:space="preserve">TOC \o "1-3" \h \u </w:instrText>
      </w:r>
      <w:r>
        <w:fldChar w:fldCharType="separate"/>
      </w:r>
      <w:r>
        <w:fldChar w:fldCharType="begin"/>
      </w:r>
      <w:r>
        <w:instrText xml:space="preserve"> HYPERLINK \l _Toc10964 </w:instrText>
      </w:r>
      <w:r>
        <w:fldChar w:fldCharType="separate"/>
      </w:r>
      <w:r>
        <w:rPr>
          <w:rFonts w:hint="eastAsia" w:ascii="Times New Roman" w:hAnsi="Times New Roman" w:eastAsia="黑体" w:cs="Times New Roman"/>
          <w:bCs w:val="0"/>
          <w:shd w:val="clear" w:color="auto" w:fill="auto"/>
        </w:rPr>
        <w:t>前言</w:t>
      </w:r>
      <w:r>
        <w:tab/>
      </w:r>
      <w:r>
        <w:fldChar w:fldCharType="begin"/>
      </w:r>
      <w:r>
        <w:instrText xml:space="preserve"> PAGEREF _Toc10964 \h </w:instrText>
      </w:r>
      <w:r>
        <w:fldChar w:fldCharType="separate"/>
      </w:r>
      <w:r>
        <w:t>1</w:t>
      </w:r>
      <w:r>
        <w:fldChar w:fldCharType="end"/>
      </w:r>
      <w:r>
        <w:fldChar w:fldCharType="end"/>
      </w:r>
    </w:p>
    <w:p w14:paraId="51AFCEAF">
      <w:pPr>
        <w:pStyle w:val="14"/>
        <w:tabs>
          <w:tab w:val="right" w:leader="dot" w:pos="8306"/>
        </w:tabs>
      </w:pPr>
      <w:r>
        <w:fldChar w:fldCharType="begin"/>
      </w:r>
      <w:r>
        <w:instrText xml:space="preserve"> HYPERLINK \l _Toc20930 </w:instrText>
      </w:r>
      <w:r>
        <w:fldChar w:fldCharType="separate"/>
      </w:r>
      <w:r>
        <w:rPr>
          <w:rFonts w:ascii="黑体" w:hAnsi="黑体" w:eastAsia="黑体" w:cs="黑体"/>
          <w:i w:val="0"/>
          <w:strike w:val="0"/>
          <w:spacing w:val="0"/>
          <w:szCs w:val="32"/>
          <w:highlight w:val="none"/>
        </w:rPr>
        <w:t>第一章 规划背景</w:t>
      </w:r>
      <w:r>
        <w:tab/>
      </w:r>
      <w:r>
        <w:fldChar w:fldCharType="begin"/>
      </w:r>
      <w:r>
        <w:instrText xml:space="preserve"> PAGEREF _Toc20930 \h </w:instrText>
      </w:r>
      <w:r>
        <w:fldChar w:fldCharType="separate"/>
      </w:r>
      <w:r>
        <w:t>2</w:t>
      </w:r>
      <w:r>
        <w:fldChar w:fldCharType="end"/>
      </w:r>
      <w:r>
        <w:fldChar w:fldCharType="end"/>
      </w:r>
    </w:p>
    <w:p w14:paraId="24C20440">
      <w:pPr>
        <w:pStyle w:val="14"/>
        <w:tabs>
          <w:tab w:val="right" w:leader="dot" w:pos="8306"/>
        </w:tabs>
      </w:pPr>
      <w:r>
        <w:fldChar w:fldCharType="begin"/>
      </w:r>
      <w:r>
        <w:instrText xml:space="preserve"> HYPERLINK \l _Toc9550 </w:instrText>
      </w:r>
      <w:r>
        <w:fldChar w:fldCharType="separate"/>
      </w:r>
      <w:r>
        <w:rPr>
          <w:rFonts w:ascii="黑体" w:hAnsi="黑体" w:eastAsia="黑体" w:cs="黑体"/>
          <w:i w:val="0"/>
          <w:strike w:val="0"/>
          <w:spacing w:val="0"/>
          <w:highlight w:val="none"/>
        </w:rPr>
        <w:t>一、发展基础</w:t>
      </w:r>
      <w:r>
        <w:tab/>
      </w:r>
      <w:r>
        <w:fldChar w:fldCharType="begin"/>
      </w:r>
      <w:r>
        <w:instrText xml:space="preserve"> PAGEREF _Toc9550 \h </w:instrText>
      </w:r>
      <w:r>
        <w:fldChar w:fldCharType="separate"/>
      </w:r>
      <w:r>
        <w:t>2</w:t>
      </w:r>
      <w:r>
        <w:fldChar w:fldCharType="end"/>
      </w:r>
      <w:r>
        <w:fldChar w:fldCharType="end"/>
      </w:r>
    </w:p>
    <w:p w14:paraId="1B7750C0">
      <w:pPr>
        <w:pStyle w:val="16"/>
        <w:tabs>
          <w:tab w:val="right" w:leader="dot" w:pos="8306"/>
          <w:tab w:val="clear" w:pos="8296"/>
        </w:tabs>
      </w:pPr>
      <w:r>
        <w:fldChar w:fldCharType="begin"/>
      </w:r>
      <w:r>
        <w:instrText xml:space="preserve"> HYPERLINK \l _Toc29398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rPr>
        <w:t>基本民生保障提标扩面</w:t>
      </w:r>
      <w:r>
        <w:tab/>
      </w:r>
      <w:r>
        <w:fldChar w:fldCharType="begin"/>
      </w:r>
      <w:r>
        <w:instrText xml:space="preserve"> PAGEREF _Toc29398 \h </w:instrText>
      </w:r>
      <w:r>
        <w:fldChar w:fldCharType="separate"/>
      </w:r>
      <w:r>
        <w:t>2</w:t>
      </w:r>
      <w:r>
        <w:fldChar w:fldCharType="end"/>
      </w:r>
      <w:r>
        <w:fldChar w:fldCharType="end"/>
      </w:r>
    </w:p>
    <w:p w14:paraId="0BFD0C49">
      <w:pPr>
        <w:pStyle w:val="16"/>
        <w:tabs>
          <w:tab w:val="right" w:leader="dot" w:pos="8306"/>
          <w:tab w:val="clear" w:pos="8296"/>
        </w:tabs>
      </w:pPr>
      <w:r>
        <w:fldChar w:fldCharType="begin"/>
      </w:r>
      <w:r>
        <w:instrText xml:space="preserve"> HYPERLINK \l _Toc3624 </w:instrText>
      </w:r>
      <w:r>
        <w:fldChar w:fldCharType="separate"/>
      </w:r>
      <w:r>
        <w:rPr>
          <w:rFonts w:ascii="楷体_GB2312" w:hAnsi="楷体_GB2312" w:eastAsia="楷体_GB2312" w:cs="楷体_GB2312"/>
          <w:i w:val="0"/>
          <w:strike w:val="0"/>
          <w:spacing w:val="0"/>
          <w:highlight w:val="none"/>
        </w:rPr>
        <w:t>（二）</w:t>
      </w:r>
      <w:r>
        <w:rPr>
          <w:rFonts w:hint="eastAsia" w:ascii="楷体_GB2312" w:hAnsi="楷体_GB2312" w:eastAsia="楷体_GB2312" w:cs="楷体_GB2312"/>
          <w:i w:val="0"/>
          <w:strike w:val="0"/>
          <w:spacing w:val="0"/>
          <w:highlight w:val="none"/>
        </w:rPr>
        <w:t>养老服务体系优化升级</w:t>
      </w:r>
      <w:r>
        <w:tab/>
      </w:r>
      <w:r>
        <w:fldChar w:fldCharType="begin"/>
      </w:r>
      <w:r>
        <w:instrText xml:space="preserve"> PAGEREF _Toc3624 \h </w:instrText>
      </w:r>
      <w:r>
        <w:fldChar w:fldCharType="separate"/>
      </w:r>
      <w:r>
        <w:t>4</w:t>
      </w:r>
      <w:r>
        <w:fldChar w:fldCharType="end"/>
      </w:r>
      <w:r>
        <w:fldChar w:fldCharType="end"/>
      </w:r>
    </w:p>
    <w:p w14:paraId="3D26478A">
      <w:pPr>
        <w:pStyle w:val="16"/>
        <w:tabs>
          <w:tab w:val="right" w:leader="dot" w:pos="8306"/>
          <w:tab w:val="clear" w:pos="8296"/>
        </w:tabs>
      </w:pPr>
      <w:r>
        <w:fldChar w:fldCharType="begin"/>
      </w:r>
      <w:r>
        <w:instrText xml:space="preserve"> HYPERLINK \l _Toc23329 </w:instrText>
      </w:r>
      <w:r>
        <w:fldChar w:fldCharType="separate"/>
      </w:r>
      <w:r>
        <w:rPr>
          <w:rFonts w:ascii="楷体_GB2312" w:hAnsi="楷体_GB2312" w:eastAsia="楷体_GB2312" w:cs="楷体_GB2312"/>
          <w:i w:val="0"/>
          <w:strike w:val="0"/>
          <w:spacing w:val="0"/>
          <w:highlight w:val="none"/>
        </w:rPr>
        <w:t>（三）</w:t>
      </w:r>
      <w:r>
        <w:rPr>
          <w:rFonts w:hint="eastAsia" w:ascii="楷体_GB2312" w:hAnsi="楷体_GB2312" w:eastAsia="楷体_GB2312" w:cs="楷体_GB2312"/>
          <w:i w:val="0"/>
          <w:strike w:val="0"/>
          <w:spacing w:val="0"/>
          <w:highlight w:val="none"/>
        </w:rPr>
        <w:t>基层与社区治理协同增效</w:t>
      </w:r>
      <w:r>
        <w:tab/>
      </w:r>
      <w:r>
        <w:fldChar w:fldCharType="begin"/>
      </w:r>
      <w:r>
        <w:instrText xml:space="preserve"> PAGEREF _Toc23329 \h </w:instrText>
      </w:r>
      <w:r>
        <w:fldChar w:fldCharType="separate"/>
      </w:r>
      <w:r>
        <w:t>5</w:t>
      </w:r>
      <w:r>
        <w:fldChar w:fldCharType="end"/>
      </w:r>
      <w:r>
        <w:fldChar w:fldCharType="end"/>
      </w:r>
    </w:p>
    <w:p w14:paraId="0D21039E">
      <w:pPr>
        <w:pStyle w:val="16"/>
        <w:tabs>
          <w:tab w:val="right" w:leader="dot" w:pos="8306"/>
          <w:tab w:val="clear" w:pos="8296"/>
        </w:tabs>
      </w:pPr>
      <w:r>
        <w:fldChar w:fldCharType="begin"/>
      </w:r>
      <w:r>
        <w:instrText xml:space="preserve"> HYPERLINK \l _Toc22361 </w:instrText>
      </w:r>
      <w:r>
        <w:fldChar w:fldCharType="separate"/>
      </w:r>
      <w:r>
        <w:rPr>
          <w:rFonts w:ascii="楷体_GB2312" w:hAnsi="楷体_GB2312" w:eastAsia="楷体_GB2312" w:cs="楷体_GB2312"/>
          <w:i w:val="0"/>
          <w:strike w:val="0"/>
          <w:spacing w:val="0"/>
          <w:highlight w:val="none"/>
        </w:rPr>
        <w:t>（四）</w:t>
      </w:r>
      <w:r>
        <w:rPr>
          <w:rFonts w:hint="eastAsia" w:ascii="楷体_GB2312" w:hAnsi="楷体_GB2312" w:eastAsia="楷体_GB2312" w:cs="楷体_GB2312"/>
          <w:i w:val="0"/>
          <w:strike w:val="0"/>
          <w:spacing w:val="0"/>
          <w:highlight w:val="none"/>
        </w:rPr>
        <w:t>社会福利体系健全稳固</w:t>
      </w:r>
      <w:r>
        <w:tab/>
      </w:r>
      <w:r>
        <w:fldChar w:fldCharType="begin"/>
      </w:r>
      <w:r>
        <w:instrText xml:space="preserve"> PAGEREF _Toc22361 \h </w:instrText>
      </w:r>
      <w:r>
        <w:fldChar w:fldCharType="separate"/>
      </w:r>
      <w:r>
        <w:t>7</w:t>
      </w:r>
      <w:r>
        <w:fldChar w:fldCharType="end"/>
      </w:r>
      <w:r>
        <w:fldChar w:fldCharType="end"/>
      </w:r>
    </w:p>
    <w:p w14:paraId="2DF9AF12">
      <w:pPr>
        <w:pStyle w:val="16"/>
        <w:tabs>
          <w:tab w:val="right" w:leader="dot" w:pos="8306"/>
          <w:tab w:val="clear" w:pos="8296"/>
        </w:tabs>
      </w:pPr>
      <w:r>
        <w:fldChar w:fldCharType="begin"/>
      </w:r>
      <w:r>
        <w:instrText xml:space="preserve"> HYPERLINK \l _Toc14715 </w:instrText>
      </w:r>
      <w:r>
        <w:fldChar w:fldCharType="separate"/>
      </w:r>
      <w:r>
        <w:rPr>
          <w:rFonts w:ascii="楷体_GB2312" w:hAnsi="楷体_GB2312" w:eastAsia="楷体_GB2312" w:cs="楷体_GB2312"/>
          <w:i w:val="0"/>
          <w:strike w:val="0"/>
          <w:spacing w:val="0"/>
          <w:highlight w:val="none"/>
        </w:rPr>
        <w:t>（五）</w:t>
      </w:r>
      <w:r>
        <w:rPr>
          <w:rFonts w:hint="eastAsia" w:ascii="楷体_GB2312" w:hAnsi="楷体_GB2312" w:eastAsia="楷体_GB2312" w:cs="楷体_GB2312"/>
          <w:i w:val="0"/>
          <w:strike w:val="0"/>
          <w:spacing w:val="0"/>
          <w:highlight w:val="none"/>
        </w:rPr>
        <w:t>专项社会事务管理服务优化</w:t>
      </w:r>
      <w:r>
        <w:tab/>
      </w:r>
      <w:r>
        <w:fldChar w:fldCharType="begin"/>
      </w:r>
      <w:r>
        <w:instrText xml:space="preserve"> PAGEREF _Toc14715 \h </w:instrText>
      </w:r>
      <w:r>
        <w:fldChar w:fldCharType="separate"/>
      </w:r>
      <w:r>
        <w:t>9</w:t>
      </w:r>
      <w:r>
        <w:fldChar w:fldCharType="end"/>
      </w:r>
      <w:r>
        <w:fldChar w:fldCharType="end"/>
      </w:r>
    </w:p>
    <w:p w14:paraId="76B879FC">
      <w:pPr>
        <w:pStyle w:val="16"/>
        <w:tabs>
          <w:tab w:val="right" w:leader="dot" w:pos="8306"/>
          <w:tab w:val="clear" w:pos="8296"/>
        </w:tabs>
      </w:pPr>
      <w:r>
        <w:fldChar w:fldCharType="begin"/>
      </w:r>
      <w:r>
        <w:instrText xml:space="preserve"> HYPERLINK \l _Toc20008 </w:instrText>
      </w:r>
      <w:r>
        <w:fldChar w:fldCharType="separate"/>
      </w:r>
      <w:r>
        <w:rPr>
          <w:rFonts w:ascii="楷体_GB2312" w:hAnsi="楷体_GB2312" w:eastAsia="楷体_GB2312" w:cs="楷体_GB2312"/>
          <w:i w:val="0"/>
          <w:strike w:val="0"/>
          <w:spacing w:val="0"/>
          <w:highlight w:val="none"/>
        </w:rPr>
        <w:t>（六）</w:t>
      </w:r>
      <w:r>
        <w:rPr>
          <w:rFonts w:hint="eastAsia" w:ascii="楷体_GB2312" w:hAnsi="楷体_GB2312" w:eastAsia="楷体_GB2312" w:cs="楷体_GB2312"/>
          <w:i w:val="0"/>
          <w:strike w:val="0"/>
          <w:spacing w:val="0"/>
          <w:highlight w:val="none"/>
        </w:rPr>
        <w:t>民政人才队伍固本强基</w:t>
      </w:r>
      <w:r>
        <w:tab/>
      </w:r>
      <w:r>
        <w:fldChar w:fldCharType="begin"/>
      </w:r>
      <w:r>
        <w:instrText xml:space="preserve"> PAGEREF _Toc20008 \h </w:instrText>
      </w:r>
      <w:r>
        <w:fldChar w:fldCharType="separate"/>
      </w:r>
      <w:r>
        <w:t>10</w:t>
      </w:r>
      <w:r>
        <w:fldChar w:fldCharType="end"/>
      </w:r>
      <w:r>
        <w:fldChar w:fldCharType="end"/>
      </w:r>
    </w:p>
    <w:p w14:paraId="028D2967">
      <w:pPr>
        <w:pStyle w:val="14"/>
        <w:tabs>
          <w:tab w:val="right" w:leader="dot" w:pos="8306"/>
        </w:tabs>
      </w:pPr>
      <w:r>
        <w:fldChar w:fldCharType="begin"/>
      </w:r>
      <w:r>
        <w:instrText xml:space="preserve"> HYPERLINK \l _Toc24723 </w:instrText>
      </w:r>
      <w:r>
        <w:fldChar w:fldCharType="separate"/>
      </w:r>
      <w:r>
        <w:rPr>
          <w:rFonts w:ascii="黑体" w:hAnsi="黑体" w:eastAsia="黑体" w:cs="黑体"/>
          <w:i w:val="0"/>
          <w:strike w:val="0"/>
          <w:spacing w:val="0"/>
          <w:highlight w:val="none"/>
        </w:rPr>
        <w:t>二、发展机遇与挑战</w:t>
      </w:r>
      <w:r>
        <w:tab/>
      </w:r>
      <w:r>
        <w:fldChar w:fldCharType="begin"/>
      </w:r>
      <w:r>
        <w:instrText xml:space="preserve"> PAGEREF _Toc24723 \h </w:instrText>
      </w:r>
      <w:r>
        <w:fldChar w:fldCharType="separate"/>
      </w:r>
      <w:r>
        <w:t>11</w:t>
      </w:r>
      <w:r>
        <w:fldChar w:fldCharType="end"/>
      </w:r>
      <w:r>
        <w:fldChar w:fldCharType="end"/>
      </w:r>
    </w:p>
    <w:p w14:paraId="255492FA">
      <w:pPr>
        <w:pStyle w:val="16"/>
        <w:tabs>
          <w:tab w:val="right" w:leader="dot" w:pos="8306"/>
          <w:tab w:val="clear" w:pos="8296"/>
        </w:tabs>
      </w:pPr>
      <w:r>
        <w:fldChar w:fldCharType="begin"/>
      </w:r>
      <w:r>
        <w:instrText xml:space="preserve"> HYPERLINK \l _Toc29421 </w:instrText>
      </w:r>
      <w:r>
        <w:fldChar w:fldCharType="separate"/>
      </w:r>
      <w:r>
        <w:rPr>
          <w:rFonts w:ascii="楷体_GB2312" w:hAnsi="楷体_GB2312" w:eastAsia="楷体_GB2312" w:cs="楷体_GB2312"/>
          <w:i w:val="0"/>
          <w:strike w:val="0"/>
          <w:spacing w:val="0"/>
          <w:highlight w:val="none"/>
        </w:rPr>
        <w:t>（一）发展机遇</w:t>
      </w:r>
      <w:r>
        <w:tab/>
      </w:r>
      <w:r>
        <w:fldChar w:fldCharType="begin"/>
      </w:r>
      <w:r>
        <w:instrText xml:space="preserve"> PAGEREF _Toc29421 \h </w:instrText>
      </w:r>
      <w:r>
        <w:fldChar w:fldCharType="separate"/>
      </w:r>
      <w:r>
        <w:t>12</w:t>
      </w:r>
      <w:r>
        <w:fldChar w:fldCharType="end"/>
      </w:r>
      <w:r>
        <w:fldChar w:fldCharType="end"/>
      </w:r>
    </w:p>
    <w:p w14:paraId="44E41720">
      <w:pPr>
        <w:pStyle w:val="16"/>
        <w:tabs>
          <w:tab w:val="right" w:leader="dot" w:pos="8306"/>
          <w:tab w:val="clear" w:pos="8296"/>
        </w:tabs>
      </w:pPr>
      <w:r>
        <w:fldChar w:fldCharType="begin"/>
      </w:r>
      <w:r>
        <w:instrText xml:space="preserve"> HYPERLINK \l _Toc28224 </w:instrText>
      </w:r>
      <w:r>
        <w:fldChar w:fldCharType="separate"/>
      </w:r>
      <w:r>
        <w:rPr>
          <w:rFonts w:ascii="楷体_GB2312" w:hAnsi="楷体_GB2312" w:eastAsia="楷体_GB2312" w:cs="楷体_GB2312"/>
          <w:i w:val="0"/>
          <w:strike w:val="0"/>
          <w:spacing w:val="0"/>
          <w:highlight w:val="none"/>
        </w:rPr>
        <w:t>（二）主要挑战</w:t>
      </w:r>
      <w:r>
        <w:tab/>
      </w:r>
      <w:r>
        <w:fldChar w:fldCharType="begin"/>
      </w:r>
      <w:r>
        <w:instrText xml:space="preserve"> PAGEREF _Toc28224 \h </w:instrText>
      </w:r>
      <w:r>
        <w:fldChar w:fldCharType="separate"/>
      </w:r>
      <w:r>
        <w:t>13</w:t>
      </w:r>
      <w:r>
        <w:fldChar w:fldCharType="end"/>
      </w:r>
      <w:r>
        <w:fldChar w:fldCharType="end"/>
      </w:r>
    </w:p>
    <w:p w14:paraId="770CCB5C">
      <w:pPr>
        <w:pStyle w:val="14"/>
        <w:tabs>
          <w:tab w:val="right" w:leader="dot" w:pos="8306"/>
        </w:tabs>
      </w:pPr>
      <w:r>
        <w:fldChar w:fldCharType="begin"/>
      </w:r>
      <w:r>
        <w:instrText xml:space="preserve"> HYPERLINK \l _Toc30608 </w:instrText>
      </w:r>
      <w:r>
        <w:fldChar w:fldCharType="separate"/>
      </w:r>
      <w:r>
        <w:rPr>
          <w:rFonts w:ascii="黑体" w:hAnsi="黑体" w:eastAsia="黑体" w:cs="黑体"/>
          <w:bCs w:val="0"/>
          <w:i w:val="0"/>
          <w:strike w:val="0"/>
          <w:spacing w:val="0"/>
          <w:szCs w:val="40"/>
          <w:highlight w:val="none"/>
        </w:rPr>
        <w:t>第二章 总体要求</w:t>
      </w:r>
      <w:r>
        <w:tab/>
      </w:r>
      <w:r>
        <w:fldChar w:fldCharType="begin"/>
      </w:r>
      <w:r>
        <w:instrText xml:space="preserve"> PAGEREF _Toc30608 \h </w:instrText>
      </w:r>
      <w:r>
        <w:fldChar w:fldCharType="separate"/>
      </w:r>
      <w:r>
        <w:t>15</w:t>
      </w:r>
      <w:r>
        <w:fldChar w:fldCharType="end"/>
      </w:r>
      <w:r>
        <w:fldChar w:fldCharType="end"/>
      </w:r>
    </w:p>
    <w:p w14:paraId="0B6BCB9C">
      <w:pPr>
        <w:pStyle w:val="14"/>
        <w:tabs>
          <w:tab w:val="right" w:leader="dot" w:pos="8306"/>
        </w:tabs>
      </w:pPr>
      <w:r>
        <w:fldChar w:fldCharType="begin"/>
      </w:r>
      <w:r>
        <w:instrText xml:space="preserve"> HYPERLINK \l _Toc29298 </w:instrText>
      </w:r>
      <w:r>
        <w:fldChar w:fldCharType="separate"/>
      </w:r>
      <w:r>
        <w:rPr>
          <w:rFonts w:ascii="黑体" w:hAnsi="黑体" w:eastAsia="黑体" w:cs="黑体"/>
          <w:bCs w:val="0"/>
          <w:i w:val="0"/>
          <w:strike w:val="0"/>
          <w:spacing w:val="0"/>
          <w:highlight w:val="none"/>
        </w:rPr>
        <w:t>一、指导思想</w:t>
      </w:r>
      <w:r>
        <w:tab/>
      </w:r>
      <w:r>
        <w:fldChar w:fldCharType="begin"/>
      </w:r>
      <w:r>
        <w:instrText xml:space="preserve"> PAGEREF _Toc29298 \h </w:instrText>
      </w:r>
      <w:r>
        <w:fldChar w:fldCharType="separate"/>
      </w:r>
      <w:r>
        <w:t>15</w:t>
      </w:r>
      <w:r>
        <w:fldChar w:fldCharType="end"/>
      </w:r>
      <w:r>
        <w:fldChar w:fldCharType="end"/>
      </w:r>
    </w:p>
    <w:p w14:paraId="100C61CC">
      <w:pPr>
        <w:pStyle w:val="14"/>
        <w:tabs>
          <w:tab w:val="right" w:leader="dot" w:pos="8306"/>
        </w:tabs>
      </w:pPr>
      <w:r>
        <w:fldChar w:fldCharType="begin"/>
      </w:r>
      <w:r>
        <w:instrText xml:space="preserve"> HYPERLINK \l _Toc25418 </w:instrText>
      </w:r>
      <w:r>
        <w:fldChar w:fldCharType="separate"/>
      </w:r>
      <w:r>
        <w:rPr>
          <w:rFonts w:ascii="黑体" w:hAnsi="黑体" w:eastAsia="黑体" w:cs="黑体"/>
          <w:i w:val="0"/>
          <w:strike w:val="0"/>
          <w:spacing w:val="0"/>
          <w:highlight w:val="none"/>
        </w:rPr>
        <w:t>二、基本原则</w:t>
      </w:r>
      <w:r>
        <w:tab/>
      </w:r>
      <w:r>
        <w:fldChar w:fldCharType="begin"/>
      </w:r>
      <w:r>
        <w:instrText xml:space="preserve"> PAGEREF _Toc25418 \h </w:instrText>
      </w:r>
      <w:r>
        <w:fldChar w:fldCharType="separate"/>
      </w:r>
      <w:r>
        <w:t>15</w:t>
      </w:r>
      <w:r>
        <w:fldChar w:fldCharType="end"/>
      </w:r>
      <w:r>
        <w:fldChar w:fldCharType="end"/>
      </w:r>
    </w:p>
    <w:p w14:paraId="24BDAABB">
      <w:pPr>
        <w:pStyle w:val="16"/>
        <w:tabs>
          <w:tab w:val="right" w:leader="dot" w:pos="8306"/>
          <w:tab w:val="clear" w:pos="8296"/>
        </w:tabs>
      </w:pPr>
      <w:r>
        <w:fldChar w:fldCharType="begin"/>
      </w:r>
      <w:r>
        <w:instrText xml:space="preserve"> HYPERLINK \l _Toc14968 </w:instrText>
      </w:r>
      <w:r>
        <w:fldChar w:fldCharType="separate"/>
      </w:r>
      <w:r>
        <w:rPr>
          <w:rFonts w:ascii="楷体_GB2312" w:hAnsi="楷体_GB2312" w:eastAsia="楷体_GB2312" w:cs="楷体_GB2312"/>
          <w:i w:val="0"/>
          <w:strike w:val="0"/>
          <w:spacing w:val="0"/>
          <w:highlight w:val="none"/>
        </w:rPr>
        <w:t>（一）坚持党建引领，锚定民政发展航向</w:t>
      </w:r>
      <w:r>
        <w:tab/>
      </w:r>
      <w:r>
        <w:fldChar w:fldCharType="begin"/>
      </w:r>
      <w:r>
        <w:instrText xml:space="preserve"> PAGEREF _Toc14968 \h </w:instrText>
      </w:r>
      <w:r>
        <w:fldChar w:fldCharType="separate"/>
      </w:r>
      <w:r>
        <w:t>15</w:t>
      </w:r>
      <w:r>
        <w:fldChar w:fldCharType="end"/>
      </w:r>
      <w:r>
        <w:fldChar w:fldCharType="end"/>
      </w:r>
    </w:p>
    <w:p w14:paraId="31C3BB2C">
      <w:pPr>
        <w:pStyle w:val="16"/>
        <w:tabs>
          <w:tab w:val="right" w:leader="dot" w:pos="8306"/>
          <w:tab w:val="clear" w:pos="8296"/>
        </w:tabs>
      </w:pPr>
      <w:r>
        <w:fldChar w:fldCharType="begin"/>
      </w:r>
      <w:r>
        <w:instrText xml:space="preserve"> HYPERLINK \l _Toc3388 </w:instrText>
      </w:r>
      <w:r>
        <w:fldChar w:fldCharType="separate"/>
      </w:r>
      <w:r>
        <w:rPr>
          <w:rFonts w:ascii="楷体_GB2312" w:hAnsi="楷体_GB2312" w:eastAsia="楷体_GB2312" w:cs="楷体_GB2312"/>
          <w:i w:val="0"/>
          <w:strike w:val="0"/>
          <w:spacing w:val="0"/>
          <w:highlight w:val="none"/>
        </w:rPr>
        <w:t>（二）坚持人民至上，</w:t>
      </w:r>
      <w:r>
        <w:rPr>
          <w:rFonts w:hint="eastAsia" w:ascii="楷体_GB2312" w:hAnsi="楷体_GB2312" w:eastAsia="楷体_GB2312" w:cs="楷体_GB2312"/>
          <w:i w:val="0"/>
          <w:strike w:val="0"/>
          <w:spacing w:val="0"/>
          <w:highlight w:val="none"/>
        </w:rPr>
        <w:t>恪守为民爱民宗旨</w:t>
      </w:r>
      <w:r>
        <w:tab/>
      </w:r>
      <w:r>
        <w:fldChar w:fldCharType="begin"/>
      </w:r>
      <w:r>
        <w:instrText xml:space="preserve"> PAGEREF _Toc3388 \h </w:instrText>
      </w:r>
      <w:r>
        <w:fldChar w:fldCharType="separate"/>
      </w:r>
      <w:r>
        <w:t>16</w:t>
      </w:r>
      <w:r>
        <w:fldChar w:fldCharType="end"/>
      </w:r>
      <w:r>
        <w:fldChar w:fldCharType="end"/>
      </w:r>
    </w:p>
    <w:p w14:paraId="0AE89416">
      <w:pPr>
        <w:pStyle w:val="16"/>
        <w:tabs>
          <w:tab w:val="right" w:leader="dot" w:pos="8306"/>
          <w:tab w:val="clear" w:pos="8296"/>
        </w:tabs>
      </w:pPr>
      <w:r>
        <w:fldChar w:fldCharType="begin"/>
      </w:r>
      <w:r>
        <w:instrText xml:space="preserve"> HYPERLINK \l _Toc19387 </w:instrText>
      </w:r>
      <w:r>
        <w:fldChar w:fldCharType="separate"/>
      </w:r>
      <w:r>
        <w:rPr>
          <w:rFonts w:ascii="楷体_GB2312" w:hAnsi="楷体_GB2312" w:eastAsia="楷体_GB2312" w:cs="楷体_GB2312"/>
          <w:i w:val="0"/>
          <w:strike w:val="0"/>
          <w:spacing w:val="0"/>
          <w:highlight w:val="none"/>
        </w:rPr>
        <w:t>（三）坚持改革引领，</w:t>
      </w:r>
      <w:r>
        <w:rPr>
          <w:rFonts w:hint="eastAsia" w:ascii="楷体_GB2312" w:hAnsi="楷体_GB2312" w:eastAsia="楷体_GB2312" w:cs="楷体_GB2312"/>
          <w:i w:val="0"/>
          <w:strike w:val="0"/>
          <w:spacing w:val="0"/>
          <w:highlight w:val="none"/>
        </w:rPr>
        <w:t>激发改革创新动能</w:t>
      </w:r>
      <w:r>
        <w:tab/>
      </w:r>
      <w:r>
        <w:fldChar w:fldCharType="begin"/>
      </w:r>
      <w:r>
        <w:instrText xml:space="preserve"> PAGEREF _Toc19387 \h </w:instrText>
      </w:r>
      <w:r>
        <w:fldChar w:fldCharType="separate"/>
      </w:r>
      <w:r>
        <w:t>16</w:t>
      </w:r>
      <w:r>
        <w:fldChar w:fldCharType="end"/>
      </w:r>
      <w:r>
        <w:fldChar w:fldCharType="end"/>
      </w:r>
    </w:p>
    <w:p w14:paraId="6CBFD761">
      <w:pPr>
        <w:pStyle w:val="16"/>
        <w:tabs>
          <w:tab w:val="right" w:leader="dot" w:pos="8306"/>
          <w:tab w:val="clear" w:pos="8296"/>
        </w:tabs>
      </w:pPr>
      <w:r>
        <w:fldChar w:fldCharType="begin"/>
      </w:r>
      <w:r>
        <w:instrText xml:space="preserve"> HYPERLINK \l _Toc27850 </w:instrText>
      </w:r>
      <w:r>
        <w:fldChar w:fldCharType="separate"/>
      </w:r>
      <w:r>
        <w:rPr>
          <w:rFonts w:ascii="楷体_GB2312" w:hAnsi="楷体_GB2312" w:eastAsia="楷体_GB2312" w:cs="楷体_GB2312"/>
          <w:i w:val="0"/>
          <w:strike w:val="0"/>
          <w:spacing w:val="0"/>
          <w:highlight w:val="none"/>
        </w:rPr>
        <w:t>（四）坚持系统集成，强化全域协同效能</w:t>
      </w:r>
      <w:r>
        <w:tab/>
      </w:r>
      <w:r>
        <w:fldChar w:fldCharType="begin"/>
      </w:r>
      <w:r>
        <w:instrText xml:space="preserve"> PAGEREF _Toc27850 \h </w:instrText>
      </w:r>
      <w:r>
        <w:fldChar w:fldCharType="separate"/>
      </w:r>
      <w:r>
        <w:t>16</w:t>
      </w:r>
      <w:r>
        <w:fldChar w:fldCharType="end"/>
      </w:r>
      <w:r>
        <w:fldChar w:fldCharType="end"/>
      </w:r>
    </w:p>
    <w:p w14:paraId="1BFEA195">
      <w:pPr>
        <w:pStyle w:val="16"/>
        <w:tabs>
          <w:tab w:val="right" w:leader="dot" w:pos="8306"/>
          <w:tab w:val="clear" w:pos="8296"/>
        </w:tabs>
      </w:pPr>
      <w:r>
        <w:fldChar w:fldCharType="begin"/>
      </w:r>
      <w:r>
        <w:instrText xml:space="preserve"> HYPERLINK \l _Toc12583 </w:instrText>
      </w:r>
      <w:r>
        <w:fldChar w:fldCharType="separate"/>
      </w:r>
      <w:r>
        <w:rPr>
          <w:rFonts w:ascii="楷体_GB2312" w:hAnsi="楷体_GB2312" w:eastAsia="楷体_GB2312" w:cs="楷体_GB2312"/>
          <w:i w:val="0"/>
          <w:strike w:val="0"/>
          <w:spacing w:val="0"/>
          <w:highlight w:val="none"/>
        </w:rPr>
        <w:t>（五）坚持数字赋能，驱动服务质效跃升</w:t>
      </w:r>
      <w:r>
        <w:tab/>
      </w:r>
      <w:r>
        <w:fldChar w:fldCharType="begin"/>
      </w:r>
      <w:r>
        <w:instrText xml:space="preserve"> PAGEREF _Toc12583 \h </w:instrText>
      </w:r>
      <w:r>
        <w:fldChar w:fldCharType="separate"/>
      </w:r>
      <w:r>
        <w:t>16</w:t>
      </w:r>
      <w:r>
        <w:fldChar w:fldCharType="end"/>
      </w:r>
      <w:r>
        <w:fldChar w:fldCharType="end"/>
      </w:r>
    </w:p>
    <w:p w14:paraId="2EBD5615">
      <w:pPr>
        <w:pStyle w:val="14"/>
        <w:tabs>
          <w:tab w:val="right" w:leader="dot" w:pos="8306"/>
        </w:tabs>
      </w:pPr>
      <w:r>
        <w:fldChar w:fldCharType="begin"/>
      </w:r>
      <w:r>
        <w:instrText xml:space="preserve"> HYPERLINK \l _Toc30186 </w:instrText>
      </w:r>
      <w:r>
        <w:fldChar w:fldCharType="separate"/>
      </w:r>
      <w:r>
        <w:rPr>
          <w:rFonts w:ascii="黑体" w:hAnsi="黑体" w:eastAsia="黑体" w:cs="黑体"/>
          <w:i w:val="0"/>
          <w:strike w:val="0"/>
          <w:spacing w:val="0"/>
          <w:highlight w:val="none"/>
        </w:rPr>
        <w:t>三、发展目标</w:t>
      </w:r>
      <w:r>
        <w:tab/>
      </w:r>
      <w:r>
        <w:fldChar w:fldCharType="begin"/>
      </w:r>
      <w:r>
        <w:instrText xml:space="preserve"> PAGEREF _Toc30186 \h </w:instrText>
      </w:r>
      <w:r>
        <w:fldChar w:fldCharType="separate"/>
      </w:r>
      <w:r>
        <w:t>17</w:t>
      </w:r>
      <w:r>
        <w:fldChar w:fldCharType="end"/>
      </w:r>
      <w:r>
        <w:fldChar w:fldCharType="end"/>
      </w:r>
    </w:p>
    <w:p w14:paraId="00FC1B03">
      <w:pPr>
        <w:pStyle w:val="14"/>
        <w:tabs>
          <w:tab w:val="right" w:leader="dot" w:pos="8306"/>
        </w:tabs>
      </w:pPr>
      <w:r>
        <w:fldChar w:fldCharType="begin"/>
      </w:r>
      <w:r>
        <w:instrText xml:space="preserve"> HYPERLINK \l _Toc6339 </w:instrText>
      </w:r>
      <w:r>
        <w:fldChar w:fldCharType="separate"/>
      </w:r>
      <w:r>
        <w:rPr>
          <w:rFonts w:ascii="黑体" w:hAnsi="黑体" w:eastAsia="黑体" w:cs="黑体"/>
          <w:i w:val="0"/>
          <w:strike w:val="0"/>
          <w:spacing w:val="0"/>
          <w:highlight w:val="none"/>
        </w:rPr>
        <w:t>四、主要指标</w:t>
      </w:r>
      <w:r>
        <w:tab/>
      </w:r>
      <w:r>
        <w:fldChar w:fldCharType="begin"/>
      </w:r>
      <w:r>
        <w:instrText xml:space="preserve"> PAGEREF _Toc6339 \h </w:instrText>
      </w:r>
      <w:r>
        <w:fldChar w:fldCharType="separate"/>
      </w:r>
      <w:r>
        <w:t>18</w:t>
      </w:r>
      <w:r>
        <w:fldChar w:fldCharType="end"/>
      </w:r>
      <w:r>
        <w:fldChar w:fldCharType="end"/>
      </w:r>
    </w:p>
    <w:p w14:paraId="42794D90">
      <w:pPr>
        <w:pStyle w:val="14"/>
        <w:tabs>
          <w:tab w:val="right" w:leader="dot" w:pos="8306"/>
        </w:tabs>
      </w:pPr>
      <w:r>
        <w:fldChar w:fldCharType="begin"/>
      </w:r>
      <w:r>
        <w:instrText xml:space="preserve"> HYPERLINK \l _Toc10433 </w:instrText>
      </w:r>
      <w:r>
        <w:fldChar w:fldCharType="separate"/>
      </w:r>
      <w:r>
        <w:rPr>
          <w:rFonts w:ascii="黑体" w:hAnsi="黑体" w:eastAsia="黑体" w:cs="黑体"/>
          <w:i w:val="0"/>
          <w:strike w:val="0"/>
          <w:spacing w:val="0"/>
          <w:szCs w:val="32"/>
          <w:highlight w:val="none"/>
        </w:rPr>
        <w:t>第三章 主要任务</w:t>
      </w:r>
      <w:r>
        <w:tab/>
      </w:r>
      <w:r>
        <w:fldChar w:fldCharType="begin"/>
      </w:r>
      <w:r>
        <w:instrText xml:space="preserve"> PAGEREF _Toc10433 \h </w:instrText>
      </w:r>
      <w:r>
        <w:fldChar w:fldCharType="separate"/>
      </w:r>
      <w:r>
        <w:t>20</w:t>
      </w:r>
      <w:r>
        <w:fldChar w:fldCharType="end"/>
      </w:r>
      <w:r>
        <w:fldChar w:fldCharType="end"/>
      </w:r>
    </w:p>
    <w:p w14:paraId="5FB792FE">
      <w:pPr>
        <w:pStyle w:val="14"/>
        <w:tabs>
          <w:tab w:val="right" w:leader="dot" w:pos="8306"/>
        </w:tabs>
      </w:pPr>
      <w:r>
        <w:fldChar w:fldCharType="begin"/>
      </w:r>
      <w:r>
        <w:instrText xml:space="preserve"> HYPERLINK \l _Toc27483 </w:instrText>
      </w:r>
      <w:r>
        <w:fldChar w:fldCharType="separate"/>
      </w:r>
      <w:r>
        <w:rPr>
          <w:rFonts w:hint="eastAsia" w:ascii="黑体" w:hAnsi="黑体" w:eastAsia="黑体" w:cs="黑体"/>
          <w:i w:val="0"/>
          <w:strike w:val="0"/>
          <w:spacing w:val="0"/>
          <w:highlight w:val="none"/>
          <w:lang w:val="en-US" w:eastAsia="zh-CN"/>
        </w:rPr>
        <w:t>一、推动老龄事业与银发产业协同发展</w:t>
      </w:r>
      <w:r>
        <w:tab/>
      </w:r>
      <w:r>
        <w:fldChar w:fldCharType="begin"/>
      </w:r>
      <w:r>
        <w:instrText xml:space="preserve"> PAGEREF _Toc27483 \h </w:instrText>
      </w:r>
      <w:r>
        <w:fldChar w:fldCharType="separate"/>
      </w:r>
      <w:r>
        <w:t>20</w:t>
      </w:r>
      <w:r>
        <w:fldChar w:fldCharType="end"/>
      </w:r>
      <w:r>
        <w:fldChar w:fldCharType="end"/>
      </w:r>
    </w:p>
    <w:p w14:paraId="4B102BBD">
      <w:pPr>
        <w:pStyle w:val="16"/>
        <w:tabs>
          <w:tab w:val="right" w:leader="dot" w:pos="8306"/>
          <w:tab w:val="clear" w:pos="8296"/>
        </w:tabs>
      </w:pPr>
      <w:r>
        <w:fldChar w:fldCharType="begin"/>
      </w:r>
      <w:r>
        <w:instrText xml:space="preserve"> HYPERLINK \l _Toc30528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rPr>
        <w:t>完善老龄工作体制机制</w:t>
      </w:r>
      <w:r>
        <w:tab/>
      </w:r>
      <w:r>
        <w:fldChar w:fldCharType="begin"/>
      </w:r>
      <w:r>
        <w:instrText xml:space="preserve"> PAGEREF _Toc30528 \h </w:instrText>
      </w:r>
      <w:r>
        <w:fldChar w:fldCharType="separate"/>
      </w:r>
      <w:r>
        <w:t>20</w:t>
      </w:r>
      <w:r>
        <w:fldChar w:fldCharType="end"/>
      </w:r>
      <w:r>
        <w:fldChar w:fldCharType="end"/>
      </w:r>
    </w:p>
    <w:p w14:paraId="780C5389">
      <w:pPr>
        <w:pStyle w:val="16"/>
        <w:tabs>
          <w:tab w:val="right" w:leader="dot" w:pos="8306"/>
          <w:tab w:val="clear" w:pos="8296"/>
        </w:tabs>
      </w:pPr>
      <w:r>
        <w:fldChar w:fldCharType="begin"/>
      </w:r>
      <w:r>
        <w:instrText xml:space="preserve"> HYPERLINK \l _Toc5669 </w:instrText>
      </w:r>
      <w:r>
        <w:fldChar w:fldCharType="separate"/>
      </w:r>
      <w:r>
        <w:rPr>
          <w:rFonts w:ascii="楷体_GB2312" w:hAnsi="楷体_GB2312" w:eastAsia="楷体_GB2312" w:cs="楷体_GB2312"/>
          <w:i w:val="0"/>
          <w:strike w:val="0"/>
          <w:spacing w:val="0"/>
          <w:highlight w:val="none"/>
        </w:rPr>
        <w:t>（二）</w:t>
      </w:r>
      <w:r>
        <w:rPr>
          <w:rFonts w:ascii="楷体_GB2312" w:hAnsi="楷体_GB2312" w:eastAsia="楷体_GB2312" w:cs="楷体_GB2312"/>
          <w:i w:val="0"/>
          <w:strike w:val="0"/>
          <w:spacing w:val="0"/>
          <w:highlight w:val="none"/>
          <w:lang w:val="en-US" w:eastAsia="zh-CN"/>
        </w:rPr>
        <w:t>健全养老服务体系</w:t>
      </w:r>
      <w:r>
        <w:tab/>
      </w:r>
      <w:r>
        <w:fldChar w:fldCharType="begin"/>
      </w:r>
      <w:r>
        <w:instrText xml:space="preserve"> PAGEREF _Toc5669 \h </w:instrText>
      </w:r>
      <w:r>
        <w:fldChar w:fldCharType="separate"/>
      </w:r>
      <w:r>
        <w:t>21</w:t>
      </w:r>
      <w:r>
        <w:fldChar w:fldCharType="end"/>
      </w:r>
      <w:r>
        <w:fldChar w:fldCharType="end"/>
      </w:r>
    </w:p>
    <w:p w14:paraId="1278B675">
      <w:pPr>
        <w:pStyle w:val="16"/>
        <w:tabs>
          <w:tab w:val="right" w:leader="dot" w:pos="8306"/>
          <w:tab w:val="clear" w:pos="8296"/>
        </w:tabs>
      </w:pPr>
      <w:r>
        <w:fldChar w:fldCharType="begin"/>
      </w:r>
      <w:r>
        <w:instrText xml:space="preserve"> HYPERLINK \l _Toc30887 </w:instrText>
      </w:r>
      <w:r>
        <w:fldChar w:fldCharType="separate"/>
      </w:r>
      <w:r>
        <w:rPr>
          <w:rFonts w:ascii="楷体_GB2312" w:hAnsi="楷体_GB2312" w:eastAsia="楷体_GB2312" w:cs="楷体_GB2312"/>
          <w:i w:val="0"/>
          <w:strike w:val="0"/>
          <w:spacing w:val="0"/>
          <w:highlight w:val="none"/>
        </w:rPr>
        <w:t>（三）</w:t>
      </w:r>
      <w:r>
        <w:rPr>
          <w:rFonts w:hint="eastAsia" w:ascii="楷体_GB2312" w:hAnsi="楷体_GB2312" w:eastAsia="楷体_GB2312" w:cs="楷体_GB2312"/>
          <w:i w:val="0"/>
          <w:strike w:val="0"/>
          <w:spacing w:val="0"/>
          <w:highlight w:val="none"/>
        </w:rPr>
        <w:t>营造老年友好社会环境</w:t>
      </w:r>
      <w:r>
        <w:tab/>
      </w:r>
      <w:r>
        <w:fldChar w:fldCharType="begin"/>
      </w:r>
      <w:r>
        <w:instrText xml:space="preserve"> PAGEREF _Toc30887 \h </w:instrText>
      </w:r>
      <w:r>
        <w:fldChar w:fldCharType="separate"/>
      </w:r>
      <w:r>
        <w:t>22</w:t>
      </w:r>
      <w:r>
        <w:fldChar w:fldCharType="end"/>
      </w:r>
      <w:r>
        <w:fldChar w:fldCharType="end"/>
      </w:r>
    </w:p>
    <w:p w14:paraId="1E032409">
      <w:pPr>
        <w:pStyle w:val="16"/>
        <w:tabs>
          <w:tab w:val="right" w:leader="dot" w:pos="8306"/>
          <w:tab w:val="clear" w:pos="8296"/>
        </w:tabs>
      </w:pPr>
      <w:r>
        <w:fldChar w:fldCharType="begin"/>
      </w:r>
      <w:r>
        <w:instrText xml:space="preserve"> HYPERLINK \l _Toc16063 </w:instrText>
      </w:r>
      <w:r>
        <w:fldChar w:fldCharType="separate"/>
      </w:r>
      <w:r>
        <w:rPr>
          <w:rFonts w:ascii="楷体_GB2312" w:hAnsi="楷体_GB2312" w:eastAsia="楷体_GB2312" w:cs="楷体_GB2312"/>
          <w:i w:val="0"/>
          <w:strike w:val="0"/>
          <w:spacing w:val="0"/>
          <w:highlight w:val="none"/>
        </w:rPr>
        <w:t>（四）</w:t>
      </w:r>
      <w:r>
        <w:rPr>
          <w:rFonts w:ascii="楷体_GB2312" w:hAnsi="楷体_GB2312" w:eastAsia="楷体_GB2312" w:cs="楷体_GB2312"/>
          <w:i w:val="0"/>
          <w:strike w:val="0"/>
          <w:spacing w:val="0"/>
          <w:highlight w:val="none"/>
          <w:lang w:val="en-US" w:eastAsia="zh-CN"/>
        </w:rPr>
        <w:t>做大做强银发经济产业</w:t>
      </w:r>
      <w:r>
        <w:tab/>
      </w:r>
      <w:r>
        <w:fldChar w:fldCharType="begin"/>
      </w:r>
      <w:r>
        <w:instrText xml:space="preserve"> PAGEREF _Toc16063 \h </w:instrText>
      </w:r>
      <w:r>
        <w:fldChar w:fldCharType="separate"/>
      </w:r>
      <w:r>
        <w:t>23</w:t>
      </w:r>
      <w:r>
        <w:fldChar w:fldCharType="end"/>
      </w:r>
      <w:r>
        <w:fldChar w:fldCharType="end"/>
      </w:r>
    </w:p>
    <w:p w14:paraId="3C842FE9">
      <w:pPr>
        <w:pStyle w:val="14"/>
        <w:tabs>
          <w:tab w:val="right" w:leader="dot" w:pos="8306"/>
        </w:tabs>
      </w:pPr>
      <w:r>
        <w:fldChar w:fldCharType="begin"/>
      </w:r>
      <w:r>
        <w:instrText xml:space="preserve"> HYPERLINK \l _Toc25105 </w:instrText>
      </w:r>
      <w:r>
        <w:fldChar w:fldCharType="separate"/>
      </w:r>
      <w:r>
        <w:rPr>
          <w:rFonts w:hint="eastAsia" w:ascii="黑体" w:hAnsi="黑体" w:eastAsia="黑体" w:cs="黑体"/>
          <w:i w:val="0"/>
          <w:strike w:val="0"/>
          <w:spacing w:val="0"/>
          <w:highlight w:val="none"/>
          <w:lang w:val="en-US" w:eastAsia="zh-CN"/>
        </w:rPr>
        <w:t>二</w:t>
      </w:r>
      <w:r>
        <w:rPr>
          <w:rFonts w:hint="eastAsia" w:ascii="黑体" w:hAnsi="黑体" w:eastAsia="黑体" w:cs="黑体"/>
          <w:i w:val="0"/>
          <w:strike w:val="0"/>
          <w:spacing w:val="0"/>
          <w:highlight w:val="none"/>
        </w:rPr>
        <w:t>、健全分层分类社会救助体系</w:t>
      </w:r>
      <w:r>
        <w:tab/>
      </w:r>
      <w:r>
        <w:fldChar w:fldCharType="begin"/>
      </w:r>
      <w:r>
        <w:instrText xml:space="preserve"> PAGEREF _Toc25105 \h </w:instrText>
      </w:r>
      <w:r>
        <w:fldChar w:fldCharType="separate"/>
      </w:r>
      <w:r>
        <w:t>26</w:t>
      </w:r>
      <w:r>
        <w:fldChar w:fldCharType="end"/>
      </w:r>
      <w:r>
        <w:fldChar w:fldCharType="end"/>
      </w:r>
    </w:p>
    <w:p w14:paraId="1B4AEB7A">
      <w:pPr>
        <w:pStyle w:val="16"/>
        <w:tabs>
          <w:tab w:val="right" w:leader="dot" w:pos="8306"/>
          <w:tab w:val="clear" w:pos="8296"/>
        </w:tabs>
      </w:pPr>
      <w:r>
        <w:fldChar w:fldCharType="begin"/>
      </w:r>
      <w:r>
        <w:instrText xml:space="preserve"> HYPERLINK \l _Toc7167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rPr>
        <w:t>完善综合救助政策体系</w:t>
      </w:r>
      <w:r>
        <w:tab/>
      </w:r>
      <w:r>
        <w:fldChar w:fldCharType="begin"/>
      </w:r>
      <w:r>
        <w:instrText xml:space="preserve"> PAGEREF _Toc7167 \h </w:instrText>
      </w:r>
      <w:r>
        <w:fldChar w:fldCharType="separate"/>
      </w:r>
      <w:r>
        <w:t>26</w:t>
      </w:r>
      <w:r>
        <w:fldChar w:fldCharType="end"/>
      </w:r>
      <w:r>
        <w:fldChar w:fldCharType="end"/>
      </w:r>
    </w:p>
    <w:p w14:paraId="4E1AA450">
      <w:pPr>
        <w:pStyle w:val="16"/>
        <w:tabs>
          <w:tab w:val="right" w:leader="dot" w:pos="8306"/>
          <w:tab w:val="clear" w:pos="8296"/>
        </w:tabs>
      </w:pPr>
      <w:r>
        <w:fldChar w:fldCharType="begin"/>
      </w:r>
      <w:r>
        <w:instrText xml:space="preserve"> HYPERLINK \l _Toc13433 </w:instrText>
      </w:r>
      <w:r>
        <w:fldChar w:fldCharType="separate"/>
      </w:r>
      <w:r>
        <w:rPr>
          <w:rFonts w:ascii="楷体_GB2312" w:hAnsi="楷体_GB2312" w:eastAsia="楷体_GB2312" w:cs="楷体_GB2312"/>
          <w:i w:val="0"/>
          <w:strike w:val="0"/>
          <w:spacing w:val="0"/>
          <w:highlight w:val="none"/>
        </w:rPr>
        <w:t>（二）</w:t>
      </w:r>
      <w:r>
        <w:rPr>
          <w:rFonts w:ascii="楷体_GB2312" w:hAnsi="楷体_GB2312" w:eastAsia="楷体_GB2312" w:cs="楷体_GB2312"/>
          <w:i w:val="0"/>
          <w:strike w:val="0"/>
          <w:spacing w:val="0"/>
          <w:highlight w:val="none"/>
          <w:lang w:val="en-US" w:eastAsia="zh-CN"/>
        </w:rPr>
        <w:t>提升智慧精准救助水平</w:t>
      </w:r>
      <w:r>
        <w:tab/>
      </w:r>
      <w:r>
        <w:fldChar w:fldCharType="begin"/>
      </w:r>
      <w:r>
        <w:instrText xml:space="preserve"> PAGEREF _Toc13433 \h </w:instrText>
      </w:r>
      <w:r>
        <w:fldChar w:fldCharType="separate"/>
      </w:r>
      <w:r>
        <w:t>27</w:t>
      </w:r>
      <w:r>
        <w:fldChar w:fldCharType="end"/>
      </w:r>
      <w:r>
        <w:fldChar w:fldCharType="end"/>
      </w:r>
    </w:p>
    <w:p w14:paraId="1572838D">
      <w:pPr>
        <w:pStyle w:val="16"/>
        <w:tabs>
          <w:tab w:val="right" w:leader="dot" w:pos="8306"/>
          <w:tab w:val="clear" w:pos="8296"/>
        </w:tabs>
      </w:pPr>
      <w:r>
        <w:fldChar w:fldCharType="begin"/>
      </w:r>
      <w:r>
        <w:instrText xml:space="preserve"> HYPERLINK \l _Toc17005 </w:instrText>
      </w:r>
      <w:r>
        <w:fldChar w:fldCharType="separate"/>
      </w:r>
      <w:r>
        <w:rPr>
          <w:rFonts w:ascii="楷体_GB2312" w:hAnsi="楷体_GB2312" w:eastAsia="楷体_GB2312" w:cs="楷体_GB2312"/>
          <w:i w:val="0"/>
          <w:strike w:val="0"/>
          <w:spacing w:val="0"/>
          <w:highlight w:val="none"/>
        </w:rPr>
        <w:t>（三）</w:t>
      </w:r>
      <w:r>
        <w:rPr>
          <w:rFonts w:ascii="楷体_GB2312" w:hAnsi="楷体_GB2312" w:eastAsia="楷体_GB2312" w:cs="楷体_GB2312"/>
          <w:i w:val="0"/>
          <w:strike w:val="0"/>
          <w:spacing w:val="0"/>
          <w:highlight w:val="none"/>
          <w:lang w:val="en-US" w:eastAsia="zh-CN"/>
        </w:rPr>
        <w:t>引导社会力量协同参与</w:t>
      </w:r>
      <w:r>
        <w:tab/>
      </w:r>
      <w:r>
        <w:fldChar w:fldCharType="begin"/>
      </w:r>
      <w:r>
        <w:instrText xml:space="preserve"> PAGEREF _Toc17005 \h </w:instrText>
      </w:r>
      <w:r>
        <w:fldChar w:fldCharType="separate"/>
      </w:r>
      <w:r>
        <w:t>28</w:t>
      </w:r>
      <w:r>
        <w:fldChar w:fldCharType="end"/>
      </w:r>
      <w:r>
        <w:fldChar w:fldCharType="end"/>
      </w:r>
    </w:p>
    <w:p w14:paraId="0019ECAC">
      <w:pPr>
        <w:pStyle w:val="16"/>
        <w:tabs>
          <w:tab w:val="right" w:leader="dot" w:pos="8306"/>
          <w:tab w:val="clear" w:pos="8296"/>
        </w:tabs>
      </w:pPr>
      <w:r>
        <w:fldChar w:fldCharType="begin"/>
      </w:r>
      <w:r>
        <w:instrText xml:space="preserve"> HYPERLINK \l _Toc21468 </w:instrText>
      </w:r>
      <w:r>
        <w:fldChar w:fldCharType="separate"/>
      </w:r>
      <w:r>
        <w:rPr>
          <w:rFonts w:ascii="楷体_GB2312" w:hAnsi="楷体_GB2312" w:eastAsia="楷体_GB2312" w:cs="楷体_GB2312"/>
          <w:i w:val="0"/>
          <w:strike w:val="0"/>
          <w:spacing w:val="0"/>
          <w:highlight w:val="none"/>
        </w:rPr>
        <w:t>（四）</w:t>
      </w:r>
      <w:r>
        <w:rPr>
          <w:rFonts w:ascii="楷体_GB2312" w:hAnsi="楷体_GB2312" w:eastAsia="楷体_GB2312" w:cs="楷体_GB2312"/>
          <w:i w:val="0"/>
          <w:strike w:val="0"/>
          <w:spacing w:val="0"/>
          <w:highlight w:val="none"/>
          <w:lang w:val="en-US" w:eastAsia="zh-CN"/>
        </w:rPr>
        <w:t>强化流浪乞讨救助管理</w:t>
      </w:r>
      <w:r>
        <w:tab/>
      </w:r>
      <w:r>
        <w:fldChar w:fldCharType="begin"/>
      </w:r>
      <w:r>
        <w:instrText xml:space="preserve"> PAGEREF _Toc21468 \h </w:instrText>
      </w:r>
      <w:r>
        <w:fldChar w:fldCharType="separate"/>
      </w:r>
      <w:r>
        <w:t>28</w:t>
      </w:r>
      <w:r>
        <w:fldChar w:fldCharType="end"/>
      </w:r>
      <w:r>
        <w:fldChar w:fldCharType="end"/>
      </w:r>
    </w:p>
    <w:p w14:paraId="0349404C">
      <w:pPr>
        <w:pStyle w:val="14"/>
        <w:tabs>
          <w:tab w:val="right" w:leader="dot" w:pos="8306"/>
        </w:tabs>
      </w:pPr>
      <w:r>
        <w:fldChar w:fldCharType="begin"/>
      </w:r>
      <w:r>
        <w:instrText xml:space="preserve"> HYPERLINK \l _Toc26974 </w:instrText>
      </w:r>
      <w:r>
        <w:fldChar w:fldCharType="separate"/>
      </w:r>
      <w:r>
        <w:rPr>
          <w:rFonts w:hint="eastAsia" w:ascii="黑体" w:hAnsi="黑体" w:eastAsia="黑体" w:cs="黑体"/>
          <w:i w:val="0"/>
          <w:strike w:val="0"/>
          <w:spacing w:val="0"/>
          <w:highlight w:val="none"/>
          <w:lang w:val="en-US" w:eastAsia="zh-CN"/>
        </w:rPr>
        <w:t>三、完善现代儿童福利保障体系</w:t>
      </w:r>
      <w:r>
        <w:tab/>
      </w:r>
      <w:r>
        <w:fldChar w:fldCharType="begin"/>
      </w:r>
      <w:r>
        <w:instrText xml:space="preserve"> PAGEREF _Toc26974 \h </w:instrText>
      </w:r>
      <w:r>
        <w:fldChar w:fldCharType="separate"/>
      </w:r>
      <w:r>
        <w:t>30</w:t>
      </w:r>
      <w:r>
        <w:fldChar w:fldCharType="end"/>
      </w:r>
      <w:r>
        <w:fldChar w:fldCharType="end"/>
      </w:r>
    </w:p>
    <w:p w14:paraId="53BD8CFC">
      <w:pPr>
        <w:pStyle w:val="16"/>
        <w:tabs>
          <w:tab w:val="right" w:leader="dot" w:pos="8306"/>
          <w:tab w:val="clear" w:pos="8296"/>
        </w:tabs>
      </w:pPr>
      <w:r>
        <w:fldChar w:fldCharType="begin"/>
      </w:r>
      <w:r>
        <w:instrText xml:space="preserve"> HYPERLINK \l _Toc6236 </w:instrText>
      </w:r>
      <w:r>
        <w:fldChar w:fldCharType="separate"/>
      </w:r>
      <w:r>
        <w:rPr>
          <w:rFonts w:ascii="楷体_GB2312" w:hAnsi="楷体_GB2312" w:eastAsia="楷体_GB2312" w:cs="楷体_GB2312"/>
          <w:bCs/>
          <w:i w:val="0"/>
          <w:strike w:val="0"/>
          <w:spacing w:val="0"/>
          <w:highlight w:val="none"/>
        </w:rPr>
        <w:t>（一）</w:t>
      </w:r>
      <w:r>
        <w:rPr>
          <w:rFonts w:hint="eastAsia" w:ascii="楷体_GB2312" w:hAnsi="楷体_GB2312" w:eastAsia="楷体_GB2312" w:cs="楷体_GB2312"/>
          <w:bCs/>
          <w:i w:val="0"/>
          <w:strike w:val="0"/>
          <w:spacing w:val="0"/>
          <w:highlight w:val="none"/>
        </w:rPr>
        <w:t>夯实困境儿童关爱服务基础支撑</w:t>
      </w:r>
      <w:r>
        <w:tab/>
      </w:r>
      <w:r>
        <w:fldChar w:fldCharType="begin"/>
      </w:r>
      <w:r>
        <w:instrText xml:space="preserve"> PAGEREF _Toc6236 \h </w:instrText>
      </w:r>
      <w:r>
        <w:fldChar w:fldCharType="separate"/>
      </w:r>
      <w:r>
        <w:t>30</w:t>
      </w:r>
      <w:r>
        <w:fldChar w:fldCharType="end"/>
      </w:r>
      <w:r>
        <w:fldChar w:fldCharType="end"/>
      </w:r>
    </w:p>
    <w:p w14:paraId="1D8379D4">
      <w:pPr>
        <w:pStyle w:val="16"/>
        <w:tabs>
          <w:tab w:val="right" w:leader="dot" w:pos="8306"/>
          <w:tab w:val="clear" w:pos="8296"/>
        </w:tabs>
      </w:pPr>
      <w:r>
        <w:fldChar w:fldCharType="begin"/>
      </w:r>
      <w:r>
        <w:instrText xml:space="preserve"> HYPERLINK \l _Toc5636 </w:instrText>
      </w:r>
      <w:r>
        <w:fldChar w:fldCharType="separate"/>
      </w:r>
      <w:r>
        <w:rPr>
          <w:rFonts w:ascii="楷体_GB2312" w:hAnsi="楷体_GB2312" w:eastAsia="楷体_GB2312" w:cs="楷体_GB2312"/>
          <w:bCs/>
          <w:i w:val="0"/>
          <w:strike w:val="0"/>
          <w:spacing w:val="0"/>
          <w:highlight w:val="none"/>
        </w:rPr>
        <w:t>（</w:t>
      </w:r>
      <w:r>
        <w:rPr>
          <w:rFonts w:hint="eastAsia" w:ascii="楷体_GB2312" w:hAnsi="楷体_GB2312" w:eastAsia="楷体_GB2312" w:cs="楷体_GB2312"/>
          <w:bCs/>
          <w:i w:val="0"/>
          <w:strike w:val="0"/>
          <w:spacing w:val="0"/>
          <w:highlight w:val="none"/>
          <w:lang w:val="en-US" w:eastAsia="zh-CN"/>
        </w:rPr>
        <w:t>二</w:t>
      </w:r>
      <w:r>
        <w:rPr>
          <w:rFonts w:ascii="楷体_GB2312" w:hAnsi="楷体_GB2312" w:eastAsia="楷体_GB2312" w:cs="楷体_GB2312"/>
          <w:bCs/>
          <w:i w:val="0"/>
          <w:strike w:val="0"/>
          <w:spacing w:val="0"/>
          <w:highlight w:val="none"/>
        </w:rPr>
        <w:t>）</w:t>
      </w:r>
      <w:r>
        <w:rPr>
          <w:rFonts w:hint="eastAsia" w:ascii="楷体_GB2312" w:hAnsi="楷体_GB2312" w:eastAsia="楷体_GB2312" w:cs="楷体_GB2312"/>
          <w:bCs/>
          <w:i w:val="0"/>
          <w:strike w:val="0"/>
          <w:spacing w:val="0"/>
          <w:highlight w:val="none"/>
          <w:lang w:val="en-US" w:eastAsia="zh-CN"/>
        </w:rPr>
        <w:t>筑牢困境儿童服务保障底线</w:t>
      </w:r>
      <w:r>
        <w:tab/>
      </w:r>
      <w:r>
        <w:fldChar w:fldCharType="begin"/>
      </w:r>
      <w:r>
        <w:instrText xml:space="preserve"> PAGEREF _Toc5636 \h </w:instrText>
      </w:r>
      <w:r>
        <w:fldChar w:fldCharType="separate"/>
      </w:r>
      <w:r>
        <w:t>31</w:t>
      </w:r>
      <w:r>
        <w:fldChar w:fldCharType="end"/>
      </w:r>
      <w:r>
        <w:fldChar w:fldCharType="end"/>
      </w:r>
    </w:p>
    <w:p w14:paraId="54230F13">
      <w:pPr>
        <w:pStyle w:val="16"/>
        <w:tabs>
          <w:tab w:val="right" w:leader="dot" w:pos="8306"/>
          <w:tab w:val="clear" w:pos="8296"/>
        </w:tabs>
      </w:pPr>
      <w:r>
        <w:fldChar w:fldCharType="begin"/>
      </w:r>
      <w:r>
        <w:instrText xml:space="preserve"> HYPERLINK \l _Toc12693 </w:instrText>
      </w:r>
      <w:r>
        <w:fldChar w:fldCharType="separate"/>
      </w:r>
      <w:r>
        <w:rPr>
          <w:rFonts w:ascii="楷体_GB2312" w:hAnsi="楷体_GB2312" w:eastAsia="楷体_GB2312" w:cs="楷体_GB2312"/>
          <w:bCs/>
          <w:i w:val="0"/>
          <w:strike w:val="0"/>
          <w:spacing w:val="0"/>
          <w:highlight w:val="none"/>
        </w:rPr>
        <w:t>（</w:t>
      </w:r>
      <w:r>
        <w:rPr>
          <w:rFonts w:hint="eastAsia" w:ascii="楷体_GB2312" w:hAnsi="楷体_GB2312" w:eastAsia="楷体_GB2312" w:cs="楷体_GB2312"/>
          <w:bCs/>
          <w:i w:val="0"/>
          <w:strike w:val="0"/>
          <w:spacing w:val="0"/>
          <w:highlight w:val="none"/>
          <w:lang w:val="en-US" w:eastAsia="zh-CN"/>
        </w:rPr>
        <w:t>三</w:t>
      </w:r>
      <w:r>
        <w:rPr>
          <w:rFonts w:ascii="楷体_GB2312" w:hAnsi="楷体_GB2312" w:eastAsia="楷体_GB2312" w:cs="楷体_GB2312"/>
          <w:bCs/>
          <w:i w:val="0"/>
          <w:strike w:val="0"/>
          <w:spacing w:val="0"/>
          <w:highlight w:val="none"/>
        </w:rPr>
        <w:t>）</w:t>
      </w:r>
      <w:r>
        <w:rPr>
          <w:rFonts w:hint="eastAsia" w:ascii="楷体_GB2312" w:hAnsi="楷体_GB2312" w:eastAsia="楷体_GB2312" w:cs="楷体_GB2312"/>
          <w:bCs/>
          <w:i w:val="0"/>
          <w:strike w:val="0"/>
          <w:spacing w:val="0"/>
          <w:highlight w:val="none"/>
          <w:lang w:val="en-US" w:eastAsia="zh-CN"/>
        </w:rPr>
        <w:t>优化困境儿童群体精准关爱服务</w:t>
      </w:r>
      <w:r>
        <w:tab/>
      </w:r>
      <w:r>
        <w:fldChar w:fldCharType="begin"/>
      </w:r>
      <w:r>
        <w:instrText xml:space="preserve"> PAGEREF _Toc12693 \h </w:instrText>
      </w:r>
      <w:r>
        <w:fldChar w:fldCharType="separate"/>
      </w:r>
      <w:r>
        <w:t>31</w:t>
      </w:r>
      <w:r>
        <w:fldChar w:fldCharType="end"/>
      </w:r>
      <w:r>
        <w:fldChar w:fldCharType="end"/>
      </w:r>
    </w:p>
    <w:p w14:paraId="1A006E44">
      <w:pPr>
        <w:pStyle w:val="16"/>
        <w:tabs>
          <w:tab w:val="right" w:leader="dot" w:pos="8306"/>
          <w:tab w:val="clear" w:pos="8296"/>
        </w:tabs>
      </w:pPr>
      <w:r>
        <w:fldChar w:fldCharType="begin"/>
      </w:r>
      <w:r>
        <w:instrText xml:space="preserve"> HYPERLINK \l _Toc17398 </w:instrText>
      </w:r>
      <w:r>
        <w:fldChar w:fldCharType="separate"/>
      </w:r>
      <w:r>
        <w:rPr>
          <w:rFonts w:ascii="楷体_GB2312" w:hAnsi="楷体_GB2312" w:eastAsia="楷体_GB2312" w:cs="楷体_GB2312"/>
          <w:bCs/>
          <w:i w:val="0"/>
          <w:strike w:val="0"/>
          <w:spacing w:val="0"/>
          <w:highlight w:val="none"/>
        </w:rPr>
        <w:t>（四）</w:t>
      </w:r>
      <w:r>
        <w:rPr>
          <w:rFonts w:hint="eastAsia" w:ascii="楷体_GB2312" w:hAnsi="楷体_GB2312" w:eastAsia="楷体_GB2312" w:cs="楷体_GB2312"/>
          <w:bCs/>
          <w:i w:val="0"/>
          <w:strike w:val="0"/>
          <w:spacing w:val="0"/>
          <w:highlight w:val="none"/>
        </w:rPr>
        <w:t>提升儿童福利机构专业效能</w:t>
      </w:r>
      <w:r>
        <w:tab/>
      </w:r>
      <w:r>
        <w:fldChar w:fldCharType="begin"/>
      </w:r>
      <w:r>
        <w:instrText xml:space="preserve"> PAGEREF _Toc17398 \h </w:instrText>
      </w:r>
      <w:r>
        <w:fldChar w:fldCharType="separate"/>
      </w:r>
      <w:r>
        <w:t>32</w:t>
      </w:r>
      <w:r>
        <w:fldChar w:fldCharType="end"/>
      </w:r>
      <w:r>
        <w:fldChar w:fldCharType="end"/>
      </w:r>
    </w:p>
    <w:p w14:paraId="693F3F41">
      <w:pPr>
        <w:pStyle w:val="14"/>
        <w:tabs>
          <w:tab w:val="right" w:leader="dot" w:pos="8306"/>
        </w:tabs>
      </w:pPr>
      <w:r>
        <w:fldChar w:fldCharType="begin"/>
      </w:r>
      <w:r>
        <w:instrText xml:space="preserve"> HYPERLINK \l _Toc13700 </w:instrText>
      </w:r>
      <w:r>
        <w:fldChar w:fldCharType="separate"/>
      </w:r>
      <w:r>
        <w:rPr>
          <w:rFonts w:hint="eastAsia" w:ascii="黑体" w:hAnsi="黑体" w:eastAsia="黑体" w:cs="黑体"/>
          <w:i w:val="0"/>
          <w:strike w:val="0"/>
          <w:spacing w:val="0"/>
          <w:highlight w:val="none"/>
          <w:lang w:val="en-US" w:eastAsia="zh-CN"/>
        </w:rPr>
        <w:t>四、提升专项社会事务服务效能</w:t>
      </w:r>
      <w:r>
        <w:tab/>
      </w:r>
      <w:r>
        <w:fldChar w:fldCharType="begin"/>
      </w:r>
      <w:r>
        <w:instrText xml:space="preserve"> PAGEREF _Toc13700 \h </w:instrText>
      </w:r>
      <w:r>
        <w:fldChar w:fldCharType="separate"/>
      </w:r>
      <w:r>
        <w:t>34</w:t>
      </w:r>
      <w:r>
        <w:fldChar w:fldCharType="end"/>
      </w:r>
      <w:r>
        <w:fldChar w:fldCharType="end"/>
      </w:r>
    </w:p>
    <w:p w14:paraId="11E36659">
      <w:pPr>
        <w:pStyle w:val="16"/>
        <w:tabs>
          <w:tab w:val="right" w:leader="dot" w:pos="8306"/>
          <w:tab w:val="clear" w:pos="8296"/>
        </w:tabs>
      </w:pPr>
      <w:r>
        <w:fldChar w:fldCharType="begin"/>
      </w:r>
      <w:r>
        <w:instrText xml:space="preserve"> HYPERLINK \l _Toc7930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lang w:eastAsia="zh-CN"/>
        </w:rPr>
        <w:t>全面优化婚姻登记服务</w:t>
      </w:r>
      <w:r>
        <w:tab/>
      </w:r>
      <w:r>
        <w:fldChar w:fldCharType="begin"/>
      </w:r>
      <w:r>
        <w:instrText xml:space="preserve"> PAGEREF _Toc7930 \h </w:instrText>
      </w:r>
      <w:r>
        <w:fldChar w:fldCharType="separate"/>
      </w:r>
      <w:r>
        <w:t>34</w:t>
      </w:r>
      <w:r>
        <w:fldChar w:fldCharType="end"/>
      </w:r>
      <w:r>
        <w:fldChar w:fldCharType="end"/>
      </w:r>
    </w:p>
    <w:p w14:paraId="042739C2">
      <w:pPr>
        <w:pStyle w:val="16"/>
        <w:tabs>
          <w:tab w:val="right" w:leader="dot" w:pos="8306"/>
          <w:tab w:val="clear" w:pos="8296"/>
        </w:tabs>
      </w:pPr>
      <w:r>
        <w:fldChar w:fldCharType="begin"/>
      </w:r>
      <w:r>
        <w:instrText xml:space="preserve"> HYPERLINK \l _Toc16296 </w:instrText>
      </w:r>
      <w:r>
        <w:fldChar w:fldCharType="separate"/>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lang w:val="en-US" w:eastAsia="zh-CN"/>
        </w:rPr>
        <w:t>二</w:t>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rPr>
        <w:t>培育“甜蜜经济”产业</w:t>
      </w:r>
      <w:r>
        <w:tab/>
      </w:r>
      <w:r>
        <w:fldChar w:fldCharType="begin"/>
      </w:r>
      <w:r>
        <w:instrText xml:space="preserve"> PAGEREF _Toc16296 \h </w:instrText>
      </w:r>
      <w:r>
        <w:fldChar w:fldCharType="separate"/>
      </w:r>
      <w:r>
        <w:t>35</w:t>
      </w:r>
      <w:r>
        <w:fldChar w:fldCharType="end"/>
      </w:r>
      <w:r>
        <w:fldChar w:fldCharType="end"/>
      </w:r>
    </w:p>
    <w:p w14:paraId="50E053E4">
      <w:pPr>
        <w:pStyle w:val="16"/>
        <w:tabs>
          <w:tab w:val="right" w:leader="dot" w:pos="8306"/>
          <w:tab w:val="clear" w:pos="8296"/>
        </w:tabs>
      </w:pPr>
      <w:r>
        <w:fldChar w:fldCharType="begin"/>
      </w:r>
      <w:r>
        <w:instrText xml:space="preserve"> HYPERLINK \l _Toc16407 </w:instrText>
      </w:r>
      <w:r>
        <w:fldChar w:fldCharType="separate"/>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lang w:val="en-US" w:eastAsia="zh-CN"/>
        </w:rPr>
        <w:t>三</w:t>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rPr>
        <w:t>深化殡葬管理服务改革</w:t>
      </w:r>
      <w:r>
        <w:tab/>
      </w:r>
      <w:r>
        <w:fldChar w:fldCharType="begin"/>
      </w:r>
      <w:r>
        <w:instrText xml:space="preserve"> PAGEREF _Toc16407 \h </w:instrText>
      </w:r>
      <w:r>
        <w:fldChar w:fldCharType="separate"/>
      </w:r>
      <w:r>
        <w:t>36</w:t>
      </w:r>
      <w:r>
        <w:fldChar w:fldCharType="end"/>
      </w:r>
      <w:r>
        <w:fldChar w:fldCharType="end"/>
      </w:r>
    </w:p>
    <w:p w14:paraId="1061919E">
      <w:pPr>
        <w:pStyle w:val="16"/>
        <w:tabs>
          <w:tab w:val="right" w:leader="dot" w:pos="8306"/>
          <w:tab w:val="clear" w:pos="8296"/>
        </w:tabs>
      </w:pPr>
      <w:r>
        <w:fldChar w:fldCharType="begin"/>
      </w:r>
      <w:r>
        <w:instrText xml:space="preserve"> HYPERLINK \l _Toc27220 </w:instrText>
      </w:r>
      <w:r>
        <w:fldChar w:fldCharType="separate"/>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lang w:val="en-US" w:eastAsia="zh-CN"/>
        </w:rPr>
        <w:t>四</w:t>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rPr>
        <w:t>健全残疾人关爱服务体系</w:t>
      </w:r>
      <w:r>
        <w:tab/>
      </w:r>
      <w:r>
        <w:fldChar w:fldCharType="begin"/>
      </w:r>
      <w:r>
        <w:instrText xml:space="preserve"> PAGEREF _Toc27220 \h </w:instrText>
      </w:r>
      <w:r>
        <w:fldChar w:fldCharType="separate"/>
      </w:r>
      <w:r>
        <w:t>36</w:t>
      </w:r>
      <w:r>
        <w:fldChar w:fldCharType="end"/>
      </w:r>
      <w:r>
        <w:fldChar w:fldCharType="end"/>
      </w:r>
    </w:p>
    <w:p w14:paraId="420C80BE">
      <w:pPr>
        <w:pStyle w:val="16"/>
        <w:tabs>
          <w:tab w:val="right" w:leader="dot" w:pos="8306"/>
          <w:tab w:val="clear" w:pos="8296"/>
        </w:tabs>
      </w:pPr>
      <w:r>
        <w:fldChar w:fldCharType="begin"/>
      </w:r>
      <w:r>
        <w:instrText xml:space="preserve"> HYPERLINK \l _Toc12340 </w:instrText>
      </w:r>
      <w:r>
        <w:fldChar w:fldCharType="separate"/>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lang w:val="en-US" w:eastAsia="zh-CN"/>
        </w:rPr>
        <w:t>五</w:t>
      </w:r>
      <w:r>
        <w:rPr>
          <w:rFonts w:ascii="楷体_GB2312" w:hAnsi="楷体_GB2312" w:eastAsia="楷体_GB2312" w:cs="楷体_GB2312"/>
          <w:i w:val="0"/>
          <w:strike w:val="0"/>
          <w:spacing w:val="0"/>
          <w:highlight w:val="none"/>
        </w:rPr>
        <w:t>）</w:t>
      </w:r>
      <w:r>
        <w:rPr>
          <w:rFonts w:hint="eastAsia" w:ascii="楷体_GB2312" w:hAnsi="楷体_GB2312" w:eastAsia="楷体_GB2312" w:cs="楷体_GB2312"/>
          <w:i w:val="0"/>
          <w:strike w:val="0"/>
          <w:spacing w:val="0"/>
          <w:highlight w:val="none"/>
        </w:rPr>
        <w:t>加强行政区划规范化管理</w:t>
      </w:r>
      <w:r>
        <w:tab/>
      </w:r>
      <w:r>
        <w:fldChar w:fldCharType="begin"/>
      </w:r>
      <w:r>
        <w:instrText xml:space="preserve"> PAGEREF _Toc12340 \h </w:instrText>
      </w:r>
      <w:r>
        <w:fldChar w:fldCharType="separate"/>
      </w:r>
      <w:r>
        <w:t>37</w:t>
      </w:r>
      <w:r>
        <w:fldChar w:fldCharType="end"/>
      </w:r>
      <w:r>
        <w:fldChar w:fldCharType="end"/>
      </w:r>
    </w:p>
    <w:p w14:paraId="750B9F37">
      <w:pPr>
        <w:pStyle w:val="14"/>
        <w:tabs>
          <w:tab w:val="right" w:leader="dot" w:pos="8306"/>
        </w:tabs>
      </w:pPr>
      <w:r>
        <w:fldChar w:fldCharType="begin"/>
      </w:r>
      <w:r>
        <w:instrText xml:space="preserve"> HYPERLINK \l _Toc31548 </w:instrText>
      </w:r>
      <w:r>
        <w:fldChar w:fldCharType="separate"/>
      </w:r>
      <w:r>
        <w:rPr>
          <w:rFonts w:hint="eastAsia" w:ascii="黑体" w:hAnsi="黑体" w:eastAsia="黑体" w:cs="黑体"/>
          <w:i w:val="0"/>
          <w:strike w:val="0"/>
          <w:spacing w:val="0"/>
          <w:highlight w:val="none"/>
          <w:lang w:val="en-US" w:eastAsia="zh-CN"/>
        </w:rPr>
        <w:t>五、激发现代社会组织发展活力</w:t>
      </w:r>
      <w:r>
        <w:tab/>
      </w:r>
      <w:r>
        <w:fldChar w:fldCharType="begin"/>
      </w:r>
      <w:r>
        <w:instrText xml:space="preserve"> PAGEREF _Toc31548 \h </w:instrText>
      </w:r>
      <w:r>
        <w:fldChar w:fldCharType="separate"/>
      </w:r>
      <w:r>
        <w:t>39</w:t>
      </w:r>
      <w:r>
        <w:fldChar w:fldCharType="end"/>
      </w:r>
      <w:r>
        <w:fldChar w:fldCharType="end"/>
      </w:r>
    </w:p>
    <w:p w14:paraId="006EF4EF">
      <w:pPr>
        <w:pStyle w:val="16"/>
        <w:tabs>
          <w:tab w:val="right" w:leader="dot" w:pos="8306"/>
          <w:tab w:val="clear" w:pos="8296"/>
        </w:tabs>
      </w:pPr>
      <w:r>
        <w:fldChar w:fldCharType="begin"/>
      </w:r>
      <w:r>
        <w:instrText xml:space="preserve"> HYPERLINK \l _Toc17628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rPr>
        <w:t>强化社会组织党建引领</w:t>
      </w:r>
      <w:r>
        <w:tab/>
      </w:r>
      <w:r>
        <w:fldChar w:fldCharType="begin"/>
      </w:r>
      <w:r>
        <w:instrText xml:space="preserve"> PAGEREF _Toc17628 \h </w:instrText>
      </w:r>
      <w:r>
        <w:fldChar w:fldCharType="separate"/>
      </w:r>
      <w:r>
        <w:t>39</w:t>
      </w:r>
      <w:r>
        <w:fldChar w:fldCharType="end"/>
      </w:r>
      <w:r>
        <w:fldChar w:fldCharType="end"/>
      </w:r>
    </w:p>
    <w:p w14:paraId="6838E356">
      <w:pPr>
        <w:pStyle w:val="16"/>
        <w:tabs>
          <w:tab w:val="right" w:leader="dot" w:pos="8306"/>
          <w:tab w:val="clear" w:pos="8296"/>
        </w:tabs>
      </w:pPr>
      <w:r>
        <w:fldChar w:fldCharType="begin"/>
      </w:r>
      <w:r>
        <w:instrText xml:space="preserve"> HYPERLINK \l _Toc9670 </w:instrText>
      </w:r>
      <w:r>
        <w:fldChar w:fldCharType="separate"/>
      </w:r>
      <w:r>
        <w:rPr>
          <w:rFonts w:ascii="楷体_GB2312" w:hAnsi="楷体_GB2312" w:eastAsia="楷体_GB2312" w:cs="楷体_GB2312"/>
          <w:i w:val="0"/>
          <w:strike w:val="0"/>
          <w:spacing w:val="0"/>
          <w:highlight w:val="none"/>
        </w:rPr>
        <w:t>（二）</w:t>
      </w:r>
      <w:r>
        <w:rPr>
          <w:rFonts w:hint="eastAsia" w:ascii="楷体_GB2312" w:hAnsi="楷体_GB2312" w:eastAsia="楷体_GB2312" w:cs="楷体_GB2312"/>
          <w:i w:val="0"/>
          <w:strike w:val="0"/>
          <w:spacing w:val="0"/>
          <w:highlight w:val="none"/>
        </w:rPr>
        <w:t>引导社会组织专业化发展</w:t>
      </w:r>
      <w:r>
        <w:tab/>
      </w:r>
      <w:r>
        <w:fldChar w:fldCharType="begin"/>
      </w:r>
      <w:r>
        <w:instrText xml:space="preserve"> PAGEREF _Toc9670 \h </w:instrText>
      </w:r>
      <w:r>
        <w:fldChar w:fldCharType="separate"/>
      </w:r>
      <w:r>
        <w:t>40</w:t>
      </w:r>
      <w:r>
        <w:fldChar w:fldCharType="end"/>
      </w:r>
      <w:r>
        <w:fldChar w:fldCharType="end"/>
      </w:r>
    </w:p>
    <w:p w14:paraId="0C31B7CE">
      <w:pPr>
        <w:pStyle w:val="16"/>
        <w:tabs>
          <w:tab w:val="right" w:leader="dot" w:pos="8306"/>
          <w:tab w:val="clear" w:pos="8296"/>
        </w:tabs>
      </w:pPr>
      <w:r>
        <w:fldChar w:fldCharType="begin"/>
      </w:r>
      <w:r>
        <w:instrText xml:space="preserve"> HYPERLINK \l _Toc20436 </w:instrText>
      </w:r>
      <w:r>
        <w:fldChar w:fldCharType="separate"/>
      </w:r>
      <w:r>
        <w:rPr>
          <w:rFonts w:ascii="楷体_GB2312" w:hAnsi="楷体_GB2312" w:eastAsia="楷体_GB2312" w:cs="楷体_GB2312"/>
          <w:i w:val="0"/>
          <w:strike w:val="0"/>
          <w:spacing w:val="0"/>
          <w:highlight w:val="none"/>
        </w:rPr>
        <w:t>（三）</w:t>
      </w:r>
      <w:r>
        <w:rPr>
          <w:rFonts w:hint="eastAsia" w:ascii="楷体_GB2312" w:hAnsi="楷体_GB2312" w:eastAsia="楷体_GB2312" w:cs="楷体_GB2312"/>
          <w:i w:val="0"/>
          <w:strike w:val="0"/>
          <w:spacing w:val="0"/>
          <w:highlight w:val="none"/>
        </w:rPr>
        <w:t>加强社会组织监管服务</w:t>
      </w:r>
      <w:r>
        <w:tab/>
      </w:r>
      <w:r>
        <w:fldChar w:fldCharType="begin"/>
      </w:r>
      <w:r>
        <w:instrText xml:space="preserve"> PAGEREF _Toc20436 \h </w:instrText>
      </w:r>
      <w:r>
        <w:fldChar w:fldCharType="separate"/>
      </w:r>
      <w:r>
        <w:t>40</w:t>
      </w:r>
      <w:r>
        <w:fldChar w:fldCharType="end"/>
      </w:r>
      <w:r>
        <w:fldChar w:fldCharType="end"/>
      </w:r>
    </w:p>
    <w:p w14:paraId="5A0B4F46">
      <w:pPr>
        <w:pStyle w:val="16"/>
        <w:tabs>
          <w:tab w:val="right" w:leader="dot" w:pos="8306"/>
          <w:tab w:val="clear" w:pos="8296"/>
        </w:tabs>
      </w:pPr>
      <w:r>
        <w:fldChar w:fldCharType="begin"/>
      </w:r>
      <w:r>
        <w:instrText xml:space="preserve"> HYPERLINK \l _Toc6324 </w:instrText>
      </w:r>
      <w:r>
        <w:fldChar w:fldCharType="separate"/>
      </w:r>
      <w:r>
        <w:rPr>
          <w:rFonts w:ascii="楷体_GB2312" w:hAnsi="楷体_GB2312" w:eastAsia="楷体_GB2312" w:cs="楷体_GB2312"/>
          <w:i w:val="0"/>
          <w:strike w:val="0"/>
          <w:spacing w:val="0"/>
          <w:highlight w:val="none"/>
        </w:rPr>
        <w:t>（四）支持社会组织助力经济发展</w:t>
      </w:r>
      <w:r>
        <w:tab/>
      </w:r>
      <w:r>
        <w:fldChar w:fldCharType="begin"/>
      </w:r>
      <w:r>
        <w:instrText xml:space="preserve"> PAGEREF _Toc6324 \h </w:instrText>
      </w:r>
      <w:r>
        <w:fldChar w:fldCharType="separate"/>
      </w:r>
      <w:r>
        <w:t>41</w:t>
      </w:r>
      <w:r>
        <w:fldChar w:fldCharType="end"/>
      </w:r>
      <w:r>
        <w:fldChar w:fldCharType="end"/>
      </w:r>
    </w:p>
    <w:p w14:paraId="1E4519F7">
      <w:pPr>
        <w:pStyle w:val="14"/>
        <w:tabs>
          <w:tab w:val="right" w:leader="dot" w:pos="8306"/>
        </w:tabs>
      </w:pPr>
      <w:r>
        <w:fldChar w:fldCharType="begin"/>
      </w:r>
      <w:r>
        <w:instrText xml:space="preserve"> HYPERLINK \l _Toc8358 </w:instrText>
      </w:r>
      <w:r>
        <w:fldChar w:fldCharType="separate"/>
      </w:r>
      <w:r>
        <w:rPr>
          <w:rFonts w:hint="eastAsia" w:ascii="黑体" w:hAnsi="黑体" w:eastAsia="黑体" w:cs="黑体"/>
          <w:i w:val="0"/>
          <w:strike w:val="0"/>
          <w:spacing w:val="0"/>
          <w:highlight w:val="none"/>
          <w:lang w:val="en-US" w:eastAsia="zh-CN"/>
        </w:rPr>
        <w:t>六、培育活力温暖现代慈善生态</w:t>
      </w:r>
      <w:r>
        <w:rPr>
          <w:rFonts w:ascii="黑体" w:hAnsi="黑体" w:eastAsia="黑体" w:cs="黑体"/>
          <w:i w:val="0"/>
          <w:strike w:val="0"/>
          <w:spacing w:val="0"/>
          <w:highlight w:val="none"/>
        </w:rPr>
        <w:t>​</w:t>
      </w:r>
      <w:r>
        <w:tab/>
      </w:r>
      <w:r>
        <w:fldChar w:fldCharType="begin"/>
      </w:r>
      <w:r>
        <w:instrText xml:space="preserve"> PAGEREF _Toc8358 \h </w:instrText>
      </w:r>
      <w:r>
        <w:fldChar w:fldCharType="separate"/>
      </w:r>
      <w:r>
        <w:t>42</w:t>
      </w:r>
      <w:r>
        <w:fldChar w:fldCharType="end"/>
      </w:r>
      <w:r>
        <w:fldChar w:fldCharType="end"/>
      </w:r>
    </w:p>
    <w:p w14:paraId="3E9271FD">
      <w:pPr>
        <w:pStyle w:val="16"/>
        <w:tabs>
          <w:tab w:val="right" w:leader="dot" w:pos="8306"/>
          <w:tab w:val="clear" w:pos="8296"/>
        </w:tabs>
      </w:pPr>
      <w:r>
        <w:fldChar w:fldCharType="begin"/>
      </w:r>
      <w:r>
        <w:instrText xml:space="preserve"> HYPERLINK \l _Toc31246 </w:instrText>
      </w:r>
      <w:r>
        <w:fldChar w:fldCharType="separate"/>
      </w:r>
      <w:r>
        <w:rPr>
          <w:rFonts w:ascii="楷体_GB2312" w:hAnsi="楷体_GB2312" w:eastAsia="楷体_GB2312" w:cs="楷体_GB2312"/>
          <w:i w:val="0"/>
          <w:strike w:val="0"/>
          <w:spacing w:val="0"/>
          <w:highlight w:val="none"/>
        </w:rPr>
        <w:t>（一）</w:t>
      </w:r>
      <w:r>
        <w:rPr>
          <w:rFonts w:hint="eastAsia" w:ascii="楷体_GB2312" w:hAnsi="楷体_GB2312" w:eastAsia="楷体_GB2312" w:cs="楷体_GB2312"/>
          <w:i w:val="0"/>
          <w:strike w:val="0"/>
          <w:spacing w:val="0"/>
          <w:highlight w:val="none"/>
        </w:rPr>
        <w:t>完善法治慈善制度基础</w:t>
      </w:r>
      <w:r>
        <w:tab/>
      </w:r>
      <w:r>
        <w:fldChar w:fldCharType="begin"/>
      </w:r>
      <w:r>
        <w:instrText xml:space="preserve"> PAGEREF _Toc31246 \h </w:instrText>
      </w:r>
      <w:r>
        <w:fldChar w:fldCharType="separate"/>
      </w:r>
      <w:r>
        <w:t>42</w:t>
      </w:r>
      <w:r>
        <w:fldChar w:fldCharType="end"/>
      </w:r>
      <w:r>
        <w:fldChar w:fldCharType="end"/>
      </w:r>
    </w:p>
    <w:p w14:paraId="04FCEF81">
      <w:pPr>
        <w:pStyle w:val="16"/>
        <w:tabs>
          <w:tab w:val="right" w:leader="dot" w:pos="8306"/>
          <w:tab w:val="clear" w:pos="8296"/>
        </w:tabs>
      </w:pPr>
      <w:r>
        <w:fldChar w:fldCharType="begin"/>
      </w:r>
      <w:r>
        <w:instrText xml:space="preserve"> HYPERLINK \l _Toc3923 </w:instrText>
      </w:r>
      <w:r>
        <w:fldChar w:fldCharType="separate"/>
      </w:r>
      <w:r>
        <w:rPr>
          <w:rFonts w:ascii="楷体_GB2312" w:hAnsi="楷体_GB2312" w:eastAsia="楷体_GB2312" w:cs="楷体_GB2312"/>
          <w:i w:val="0"/>
          <w:strike w:val="0"/>
          <w:spacing w:val="0"/>
          <w:highlight w:val="none"/>
        </w:rPr>
        <w:t>（二）</w:t>
      </w:r>
      <w:r>
        <w:rPr>
          <w:rFonts w:hint="eastAsia" w:ascii="楷体_GB2312" w:hAnsi="楷体_GB2312" w:eastAsia="楷体_GB2312" w:cs="楷体_GB2312"/>
          <w:i w:val="0"/>
          <w:strike w:val="0"/>
          <w:spacing w:val="0"/>
          <w:highlight w:val="none"/>
        </w:rPr>
        <w:t>强化阳光慈善公信力</w:t>
      </w:r>
      <w:r>
        <w:tab/>
      </w:r>
      <w:r>
        <w:fldChar w:fldCharType="begin"/>
      </w:r>
      <w:r>
        <w:instrText xml:space="preserve"> PAGEREF _Toc3923 \h </w:instrText>
      </w:r>
      <w:r>
        <w:fldChar w:fldCharType="separate"/>
      </w:r>
      <w:r>
        <w:t>43</w:t>
      </w:r>
      <w:r>
        <w:fldChar w:fldCharType="end"/>
      </w:r>
      <w:r>
        <w:fldChar w:fldCharType="end"/>
      </w:r>
    </w:p>
    <w:p w14:paraId="4987191A">
      <w:pPr>
        <w:pStyle w:val="16"/>
        <w:tabs>
          <w:tab w:val="right" w:leader="dot" w:pos="8306"/>
          <w:tab w:val="clear" w:pos="8296"/>
        </w:tabs>
      </w:pPr>
      <w:r>
        <w:fldChar w:fldCharType="begin"/>
      </w:r>
      <w:r>
        <w:instrText xml:space="preserve"> HYPERLINK \l _Toc19324 </w:instrText>
      </w:r>
      <w:r>
        <w:fldChar w:fldCharType="separate"/>
      </w:r>
      <w:r>
        <w:rPr>
          <w:rFonts w:ascii="楷体_GB2312" w:hAnsi="楷体_GB2312" w:eastAsia="楷体_GB2312" w:cs="楷体_GB2312"/>
          <w:i w:val="0"/>
          <w:strike w:val="0"/>
          <w:spacing w:val="0"/>
          <w:highlight w:val="none"/>
        </w:rPr>
        <w:t>（三）</w:t>
      </w:r>
      <w:r>
        <w:rPr>
          <w:rFonts w:hint="eastAsia" w:ascii="楷体_GB2312" w:hAnsi="楷体_GB2312" w:eastAsia="楷体_GB2312" w:cs="楷体_GB2312"/>
          <w:i w:val="0"/>
          <w:strike w:val="0"/>
          <w:spacing w:val="0"/>
          <w:highlight w:val="none"/>
        </w:rPr>
        <w:t>激发活力慈善新动能</w:t>
      </w:r>
      <w:r>
        <w:tab/>
      </w:r>
      <w:r>
        <w:fldChar w:fldCharType="begin"/>
      </w:r>
      <w:r>
        <w:instrText xml:space="preserve"> PAGEREF _Toc19324 \h </w:instrText>
      </w:r>
      <w:r>
        <w:fldChar w:fldCharType="separate"/>
      </w:r>
      <w:r>
        <w:t>44</w:t>
      </w:r>
      <w:r>
        <w:fldChar w:fldCharType="end"/>
      </w:r>
      <w:r>
        <w:fldChar w:fldCharType="end"/>
      </w:r>
    </w:p>
    <w:p w14:paraId="7386E467">
      <w:pPr>
        <w:pStyle w:val="16"/>
        <w:tabs>
          <w:tab w:val="right" w:leader="dot" w:pos="8306"/>
          <w:tab w:val="clear" w:pos="8296"/>
        </w:tabs>
      </w:pPr>
      <w:r>
        <w:fldChar w:fldCharType="begin"/>
      </w:r>
      <w:r>
        <w:instrText xml:space="preserve"> HYPERLINK \l _Toc16840 </w:instrText>
      </w:r>
      <w:r>
        <w:fldChar w:fldCharType="separate"/>
      </w:r>
      <w:r>
        <w:rPr>
          <w:rFonts w:ascii="楷体_GB2312" w:hAnsi="楷体_GB2312" w:eastAsia="楷体_GB2312" w:cs="楷体_GB2312"/>
          <w:i w:val="0"/>
          <w:strike w:val="0"/>
          <w:spacing w:val="0"/>
          <w:highlight w:val="none"/>
        </w:rPr>
        <w:t>（四）</w:t>
      </w:r>
      <w:r>
        <w:rPr>
          <w:rFonts w:hint="eastAsia" w:ascii="楷体_GB2312" w:hAnsi="楷体_GB2312" w:eastAsia="楷体_GB2312" w:cs="楷体_GB2312"/>
          <w:i w:val="0"/>
          <w:strike w:val="0"/>
          <w:spacing w:val="0"/>
          <w:highlight w:val="none"/>
        </w:rPr>
        <w:t>加快智慧慈善全面转型</w:t>
      </w:r>
      <w:r>
        <w:tab/>
      </w:r>
      <w:r>
        <w:fldChar w:fldCharType="begin"/>
      </w:r>
      <w:r>
        <w:instrText xml:space="preserve"> PAGEREF _Toc16840 \h </w:instrText>
      </w:r>
      <w:r>
        <w:fldChar w:fldCharType="separate"/>
      </w:r>
      <w:r>
        <w:t>44</w:t>
      </w:r>
      <w:r>
        <w:fldChar w:fldCharType="end"/>
      </w:r>
      <w:r>
        <w:fldChar w:fldCharType="end"/>
      </w:r>
    </w:p>
    <w:p w14:paraId="2FB24D58">
      <w:pPr>
        <w:pStyle w:val="14"/>
        <w:tabs>
          <w:tab w:val="right" w:leader="dot" w:pos="8306"/>
        </w:tabs>
      </w:pPr>
      <w:r>
        <w:fldChar w:fldCharType="begin"/>
      </w:r>
      <w:r>
        <w:instrText xml:space="preserve"> HYPERLINK \l _Toc17018 </w:instrText>
      </w:r>
      <w:r>
        <w:fldChar w:fldCharType="separate"/>
      </w:r>
      <w:r>
        <w:rPr>
          <w:rFonts w:hint="eastAsia" w:ascii="黑体" w:hAnsi="黑体" w:eastAsia="黑体" w:cs="黑体"/>
          <w:i w:val="0"/>
          <w:strike w:val="0"/>
          <w:spacing w:val="0"/>
          <w:szCs w:val="32"/>
          <w:highlight w:val="none"/>
          <w:lang w:val="en-US" w:eastAsia="zh-CN"/>
        </w:rPr>
        <w:t>第四章 保障</w:t>
      </w:r>
      <w:r>
        <w:rPr>
          <w:rFonts w:ascii="黑体" w:hAnsi="黑体" w:eastAsia="黑体" w:cs="黑体"/>
          <w:i w:val="0"/>
          <w:strike w:val="0"/>
          <w:spacing w:val="0"/>
          <w:szCs w:val="32"/>
          <w:highlight w:val="none"/>
        </w:rPr>
        <w:t>措施</w:t>
      </w:r>
      <w:r>
        <w:tab/>
      </w:r>
      <w:r>
        <w:fldChar w:fldCharType="begin"/>
      </w:r>
      <w:r>
        <w:instrText xml:space="preserve"> PAGEREF _Toc17018 \h </w:instrText>
      </w:r>
      <w:r>
        <w:fldChar w:fldCharType="separate"/>
      </w:r>
      <w:r>
        <w:t>45</w:t>
      </w:r>
      <w:r>
        <w:fldChar w:fldCharType="end"/>
      </w:r>
      <w:r>
        <w:fldChar w:fldCharType="end"/>
      </w:r>
    </w:p>
    <w:p w14:paraId="55DC5545">
      <w:pPr>
        <w:pStyle w:val="14"/>
        <w:tabs>
          <w:tab w:val="right" w:leader="dot" w:pos="8306"/>
        </w:tabs>
      </w:pPr>
      <w:r>
        <w:fldChar w:fldCharType="begin"/>
      </w:r>
      <w:r>
        <w:instrText xml:space="preserve"> HYPERLINK \l _Toc10703 </w:instrText>
      </w:r>
      <w:r>
        <w:fldChar w:fldCharType="separate"/>
      </w:r>
      <w:r>
        <w:rPr>
          <w:rFonts w:ascii="黑体" w:hAnsi="黑体" w:eastAsia="黑体" w:cs="黑体"/>
          <w:i w:val="0"/>
          <w:strike w:val="0"/>
          <w:spacing w:val="0"/>
          <w:highlight w:val="none"/>
        </w:rPr>
        <w:t>一、强化组织保障，坚持党的领导</w:t>
      </w:r>
      <w:r>
        <w:tab/>
      </w:r>
      <w:r>
        <w:fldChar w:fldCharType="begin"/>
      </w:r>
      <w:r>
        <w:instrText xml:space="preserve"> PAGEREF _Toc10703 \h </w:instrText>
      </w:r>
      <w:r>
        <w:fldChar w:fldCharType="separate"/>
      </w:r>
      <w:r>
        <w:t>45</w:t>
      </w:r>
      <w:r>
        <w:fldChar w:fldCharType="end"/>
      </w:r>
      <w:r>
        <w:fldChar w:fldCharType="end"/>
      </w:r>
    </w:p>
    <w:p w14:paraId="5D6140BB">
      <w:pPr>
        <w:pStyle w:val="14"/>
        <w:tabs>
          <w:tab w:val="right" w:leader="dot" w:pos="8306"/>
        </w:tabs>
      </w:pPr>
      <w:r>
        <w:fldChar w:fldCharType="begin"/>
      </w:r>
      <w:r>
        <w:instrText xml:space="preserve"> HYPERLINK \l _Toc15106 </w:instrText>
      </w:r>
      <w:r>
        <w:fldChar w:fldCharType="separate"/>
      </w:r>
      <w:r>
        <w:rPr>
          <w:rFonts w:ascii="黑体" w:hAnsi="黑体" w:eastAsia="黑体" w:cs="黑体"/>
          <w:i w:val="0"/>
          <w:strike w:val="0"/>
          <w:spacing w:val="0"/>
          <w:highlight w:val="none"/>
        </w:rPr>
        <w:t>二、建强人才队伍，提升服务能级</w:t>
      </w:r>
      <w:r>
        <w:tab/>
      </w:r>
      <w:r>
        <w:fldChar w:fldCharType="begin"/>
      </w:r>
      <w:r>
        <w:instrText xml:space="preserve"> PAGEREF _Toc15106 \h </w:instrText>
      </w:r>
      <w:r>
        <w:fldChar w:fldCharType="separate"/>
      </w:r>
      <w:r>
        <w:t>46</w:t>
      </w:r>
      <w:r>
        <w:fldChar w:fldCharType="end"/>
      </w:r>
      <w:r>
        <w:fldChar w:fldCharType="end"/>
      </w:r>
    </w:p>
    <w:p w14:paraId="63697D7D">
      <w:pPr>
        <w:pStyle w:val="14"/>
        <w:tabs>
          <w:tab w:val="right" w:leader="dot" w:pos="8306"/>
        </w:tabs>
      </w:pPr>
      <w:r>
        <w:fldChar w:fldCharType="begin"/>
      </w:r>
      <w:r>
        <w:instrText xml:space="preserve"> HYPERLINK \l _Toc26500 </w:instrText>
      </w:r>
      <w:r>
        <w:fldChar w:fldCharType="separate"/>
      </w:r>
      <w:r>
        <w:rPr>
          <w:rFonts w:ascii="黑体" w:hAnsi="黑体" w:eastAsia="黑体" w:cs="黑体"/>
          <w:i w:val="0"/>
          <w:strike w:val="0"/>
          <w:spacing w:val="0"/>
          <w:highlight w:val="none"/>
        </w:rPr>
        <w:t>三、</w:t>
      </w:r>
      <w:r>
        <w:rPr>
          <w:rFonts w:hint="eastAsia" w:ascii="黑体" w:hAnsi="黑体" w:eastAsia="黑体" w:cs="黑体"/>
          <w:i w:val="0"/>
          <w:strike w:val="0"/>
          <w:spacing w:val="0"/>
          <w:highlight w:val="none"/>
        </w:rPr>
        <w:t>筑牢法安根基，强化制度支撑</w:t>
      </w:r>
      <w:r>
        <w:tab/>
      </w:r>
      <w:r>
        <w:fldChar w:fldCharType="begin"/>
      </w:r>
      <w:r>
        <w:instrText xml:space="preserve"> PAGEREF _Toc26500 \h </w:instrText>
      </w:r>
      <w:r>
        <w:fldChar w:fldCharType="separate"/>
      </w:r>
      <w:r>
        <w:t>46</w:t>
      </w:r>
      <w:r>
        <w:fldChar w:fldCharType="end"/>
      </w:r>
      <w:r>
        <w:fldChar w:fldCharType="end"/>
      </w:r>
    </w:p>
    <w:p w14:paraId="3249663A">
      <w:pPr>
        <w:pStyle w:val="14"/>
        <w:tabs>
          <w:tab w:val="right" w:leader="dot" w:pos="8306"/>
        </w:tabs>
      </w:pPr>
      <w:r>
        <w:fldChar w:fldCharType="begin"/>
      </w:r>
      <w:r>
        <w:instrText xml:space="preserve"> HYPERLINK \l _Toc24733 </w:instrText>
      </w:r>
      <w:r>
        <w:fldChar w:fldCharType="separate"/>
      </w:r>
      <w:r>
        <w:rPr>
          <w:rFonts w:hint="eastAsia" w:ascii="黑体" w:hAnsi="黑体" w:eastAsia="黑体" w:cs="黑体"/>
          <w:i w:val="0"/>
          <w:strike w:val="0"/>
          <w:spacing w:val="0"/>
          <w:highlight w:val="none"/>
          <w:lang w:val="en-US" w:eastAsia="zh-CN"/>
        </w:rPr>
        <w:t>四</w:t>
      </w:r>
      <w:r>
        <w:rPr>
          <w:rFonts w:ascii="黑体" w:hAnsi="黑体" w:eastAsia="黑体" w:cs="黑体"/>
          <w:i w:val="0"/>
          <w:strike w:val="0"/>
          <w:spacing w:val="0"/>
          <w:highlight w:val="none"/>
        </w:rPr>
        <w:t>、拓宽资源渠道，强化资金保障</w:t>
      </w:r>
      <w:r>
        <w:tab/>
      </w:r>
      <w:r>
        <w:fldChar w:fldCharType="begin"/>
      </w:r>
      <w:r>
        <w:instrText xml:space="preserve"> PAGEREF _Toc24733 \h </w:instrText>
      </w:r>
      <w:r>
        <w:fldChar w:fldCharType="separate"/>
      </w:r>
      <w:r>
        <w:t>47</w:t>
      </w:r>
      <w:r>
        <w:fldChar w:fldCharType="end"/>
      </w:r>
      <w:r>
        <w:fldChar w:fldCharType="end"/>
      </w:r>
    </w:p>
    <w:p w14:paraId="5D25043D">
      <w:pPr>
        <w:pStyle w:val="14"/>
        <w:tabs>
          <w:tab w:val="right" w:leader="dot" w:pos="8306"/>
        </w:tabs>
      </w:pPr>
      <w:r>
        <w:fldChar w:fldCharType="begin"/>
      </w:r>
      <w:r>
        <w:instrText xml:space="preserve"> HYPERLINK \l _Toc23718 </w:instrText>
      </w:r>
      <w:r>
        <w:fldChar w:fldCharType="separate"/>
      </w:r>
      <w:r>
        <w:rPr>
          <w:rFonts w:hint="eastAsia" w:ascii="黑体" w:hAnsi="黑体" w:eastAsia="黑体" w:cs="黑体"/>
          <w:i w:val="0"/>
          <w:strike w:val="0"/>
          <w:spacing w:val="0"/>
          <w:highlight w:val="none"/>
          <w:lang w:val="en-US" w:eastAsia="zh-CN"/>
        </w:rPr>
        <w:t>五</w:t>
      </w:r>
      <w:r>
        <w:rPr>
          <w:rFonts w:ascii="黑体" w:hAnsi="黑体" w:eastAsia="黑体" w:cs="黑体"/>
          <w:i w:val="0"/>
          <w:strike w:val="0"/>
          <w:spacing w:val="0"/>
          <w:highlight w:val="none"/>
        </w:rPr>
        <w:t>、</w:t>
      </w:r>
      <w:r>
        <w:rPr>
          <w:rFonts w:hint="eastAsia" w:ascii="黑体" w:hAnsi="黑体" w:eastAsia="黑体" w:cs="黑体"/>
          <w:i w:val="0"/>
          <w:strike w:val="0"/>
          <w:spacing w:val="0"/>
          <w:highlight w:val="none"/>
        </w:rPr>
        <w:t>聚焦管理效能</w:t>
      </w:r>
      <w:r>
        <w:rPr>
          <w:rFonts w:ascii="黑体" w:hAnsi="黑体" w:eastAsia="黑体" w:cs="黑体"/>
          <w:i w:val="0"/>
          <w:strike w:val="0"/>
          <w:spacing w:val="0"/>
          <w:highlight w:val="none"/>
        </w:rPr>
        <w:t>，压实主体责任</w:t>
      </w:r>
      <w:r>
        <w:tab/>
      </w:r>
      <w:r>
        <w:fldChar w:fldCharType="begin"/>
      </w:r>
      <w:r>
        <w:instrText xml:space="preserve"> PAGEREF _Toc23718 \h </w:instrText>
      </w:r>
      <w:r>
        <w:fldChar w:fldCharType="separate"/>
      </w:r>
      <w:r>
        <w:t>47</w:t>
      </w:r>
      <w:r>
        <w:fldChar w:fldCharType="end"/>
      </w:r>
      <w:r>
        <w:fldChar w:fldCharType="end"/>
      </w:r>
    </w:p>
    <w:p w14:paraId="41BB0468">
      <w:pPr>
        <w:pStyle w:val="14"/>
        <w:tabs>
          <w:tab w:val="right" w:leader="dot" w:pos="8306"/>
        </w:tabs>
      </w:pPr>
      <w:r>
        <w:fldChar w:fldCharType="begin"/>
      </w:r>
      <w:r>
        <w:instrText xml:space="preserve"> HYPERLINK \l _Toc18690 </w:instrText>
      </w:r>
      <w:r>
        <w:fldChar w:fldCharType="separate"/>
      </w:r>
      <w:r>
        <w:rPr>
          <w:rFonts w:hint="eastAsia" w:ascii="黑体" w:hAnsi="黑体" w:eastAsia="黑体" w:cs="黑体"/>
          <w:i w:val="0"/>
          <w:strike w:val="0"/>
          <w:spacing w:val="0"/>
          <w:highlight w:val="none"/>
          <w:lang w:val="en-US" w:eastAsia="zh-CN"/>
        </w:rPr>
        <w:t>六</w:t>
      </w:r>
      <w:r>
        <w:rPr>
          <w:rFonts w:ascii="黑体" w:hAnsi="黑体" w:eastAsia="黑体" w:cs="黑体"/>
          <w:i w:val="0"/>
          <w:strike w:val="0"/>
          <w:spacing w:val="0"/>
          <w:highlight w:val="none"/>
        </w:rPr>
        <w:t>、创新宣传引导，凝聚社会共识</w:t>
      </w:r>
      <w:r>
        <w:tab/>
      </w:r>
      <w:r>
        <w:fldChar w:fldCharType="begin"/>
      </w:r>
      <w:r>
        <w:instrText xml:space="preserve"> PAGEREF _Toc18690 \h </w:instrText>
      </w:r>
      <w:r>
        <w:fldChar w:fldCharType="separate"/>
      </w:r>
      <w:r>
        <w:t>48</w:t>
      </w:r>
      <w:r>
        <w:fldChar w:fldCharType="end"/>
      </w:r>
      <w:r>
        <w:fldChar w:fldCharType="end"/>
      </w:r>
    </w:p>
    <w:p w14:paraId="50AF14AB">
      <w:pPr>
        <w:pStyle w:val="25"/>
        <w:keepNext w:val="0"/>
        <w:keepLines w:val="0"/>
        <w:pageBreakBefore w:val="0"/>
        <w:widowControl/>
        <w:tabs>
          <w:tab w:val="right" w:leader="dot" w:pos="8306"/>
        </w:tabs>
        <w:kinsoku/>
        <w:wordWrap/>
        <w:overflowPunct/>
        <w:topLinePunct w:val="0"/>
        <w:autoSpaceDE/>
        <w:autoSpaceDN/>
        <w:bidi w:val="0"/>
        <w:adjustRightInd/>
        <w:snapToGrid/>
        <w:jc w:val="left"/>
        <w:textAlignment w:val="auto"/>
      </w:pPr>
      <w:r>
        <w:fldChar w:fldCharType="end"/>
      </w:r>
    </w:p>
    <w:p w14:paraId="0D1BEC8B">
      <w:pPr>
        <w:pStyle w:val="25"/>
        <w:keepNext w:val="0"/>
        <w:keepLines w:val="0"/>
        <w:pageBreakBefore w:val="0"/>
        <w:widowControl/>
        <w:tabs>
          <w:tab w:val="right" w:leader="dot" w:pos="8306"/>
        </w:tabs>
        <w:kinsoku/>
        <w:wordWrap/>
        <w:overflowPunct/>
        <w:topLinePunct w:val="0"/>
        <w:autoSpaceDE/>
        <w:autoSpaceDN/>
        <w:bidi w:val="0"/>
        <w:adjustRightInd/>
        <w:snapToGrid/>
        <w:jc w:val="left"/>
        <w:textAlignment w:val="auto"/>
      </w:pPr>
    </w:p>
    <w:p w14:paraId="01D6BD35">
      <w:pPr>
        <w:pStyle w:val="25"/>
        <w:keepNext w:val="0"/>
        <w:keepLines w:val="0"/>
        <w:pageBreakBefore w:val="0"/>
        <w:widowControl/>
        <w:tabs>
          <w:tab w:val="right" w:leader="dot" w:pos="8306"/>
        </w:tabs>
        <w:kinsoku/>
        <w:wordWrap/>
        <w:overflowPunct/>
        <w:topLinePunct w:val="0"/>
        <w:autoSpaceDE/>
        <w:autoSpaceDN/>
        <w:bidi w:val="0"/>
        <w:adjustRightInd/>
        <w:snapToGrid/>
        <w:jc w:val="left"/>
        <w:textAlignment w:val="auto"/>
        <w:rPr>
          <w:rFonts w:hint="eastAsia"/>
          <w:lang w:val="en-US" w:eastAsia="zh-CN"/>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170D1E9D">
      <w:pPr>
        <w:rPr>
          <w:rFonts w:hint="eastAsia" w:ascii="仿宋_GB2312" w:hAnsi="仿宋_GB2312" w:eastAsia="仿宋_GB2312" w:cs="仿宋_GB2312"/>
          <w:color w:val="auto"/>
          <w:kern w:val="2"/>
          <w:sz w:val="32"/>
          <w:szCs w:val="32"/>
          <w:u w:val="none"/>
          <w:lang w:eastAsia="zh-CN" w:bidi="ar-SA"/>
        </w:rPr>
      </w:pPr>
    </w:p>
    <w:p w14:paraId="624A962E">
      <w:pPr>
        <w:rPr>
          <w:rFonts w:hint="eastAsia" w:ascii="仿宋_GB2312" w:hAnsi="仿宋_GB2312" w:eastAsia="仿宋_GB2312" w:cs="仿宋_GB2312"/>
          <w:color w:val="auto"/>
          <w:kern w:val="2"/>
          <w:sz w:val="32"/>
          <w:szCs w:val="32"/>
          <w:u w:val="none"/>
          <w:lang w:eastAsia="zh-CN" w:bidi="ar-SA"/>
        </w:rPr>
      </w:pPr>
    </w:p>
    <w:p w14:paraId="5E272F33">
      <w:pPr>
        <w:rPr>
          <w:rFonts w:hint="eastAsia" w:ascii="仿宋_GB2312" w:hAnsi="仿宋_GB2312" w:eastAsia="仿宋_GB2312" w:cs="仿宋_GB2312"/>
          <w:color w:val="auto"/>
          <w:kern w:val="2"/>
          <w:sz w:val="32"/>
          <w:szCs w:val="32"/>
          <w:u w:val="none"/>
          <w:lang w:val="en-US" w:eastAsia="zh-CN" w:bidi="ar-SA"/>
        </w:rPr>
        <w:sectPr>
          <w:footerReference r:id="rId7" w:type="default"/>
          <w:pgSz w:w="11906" w:h="16838"/>
          <w:pgMar w:top="1440" w:right="1800" w:bottom="1440" w:left="1800" w:header="851" w:footer="992" w:gutter="0"/>
          <w:pgNumType w:fmt="decimal" w:start="1"/>
          <w:cols w:space="720" w:num="1"/>
          <w:docGrid w:type="lines" w:linePitch="312" w:charSpace="0"/>
        </w:sectPr>
      </w:pPr>
    </w:p>
    <w:p w14:paraId="6F6BAB1E">
      <w:pPr>
        <w:pStyle w:val="5"/>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Times New Roman" w:hAnsi="Times New Roman" w:eastAsia="黑体" w:cs="Times New Roman"/>
          <w:b w:val="0"/>
          <w:bCs w:val="0"/>
          <w:color w:val="auto"/>
          <w:sz w:val="32"/>
          <w:u w:val="none"/>
          <w:shd w:val="clear" w:color="auto" w:fill="auto"/>
        </w:rPr>
      </w:pPr>
      <w:bookmarkStart w:id="15" w:name="_Toc10964"/>
      <w:bookmarkStart w:id="16" w:name="_Toc8086"/>
      <w:bookmarkStart w:id="17" w:name="_Toc12942_WPSOffice_Level1"/>
      <w:r>
        <w:rPr>
          <w:rFonts w:hint="eastAsia" w:ascii="Times New Roman" w:hAnsi="Times New Roman" w:eastAsia="黑体" w:cs="Times New Roman"/>
          <w:b w:val="0"/>
          <w:bCs w:val="0"/>
          <w:color w:val="auto"/>
          <w:sz w:val="32"/>
          <w:u w:val="none"/>
          <w:shd w:val="clear" w:color="auto" w:fill="auto"/>
        </w:rPr>
        <w:t>前言</w:t>
      </w:r>
      <w:bookmarkEnd w:id="15"/>
      <w:bookmarkEnd w:id="16"/>
      <w:bookmarkEnd w:id="17"/>
    </w:p>
    <w:p w14:paraId="709E97A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firstLineChars="0"/>
        <w:jc w:val="center"/>
        <w:textAlignment w:val="auto"/>
        <w:rPr>
          <w:rFonts w:ascii="仿宋_GB2312" w:hAnsi="仿宋_GB2312" w:eastAsia="仿宋_GB2312" w:cs="仿宋_GB2312"/>
          <w:i w:val="0"/>
          <w:strike w:val="0"/>
          <w:color w:val="000000"/>
          <w:spacing w:val="0"/>
          <w:sz w:val="32"/>
          <w:highlight w:val="none"/>
          <w:u w:val="none"/>
        </w:rPr>
      </w:pPr>
    </w:p>
    <w:p w14:paraId="40CD328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民政工作关系民生、连着民心，是社会建设的兜底性、基础性工作。习近平总书记高度重视民政工作，对民政工作作出一系列重要指示，强调要坚持党的领导、加强党的建设，深化改革创新，完善政策制度体系、服务保障体系、监督管理体系、社会参与体系，着力推进实施积极应对人口老龄化国家战略，着力提升社会救助、社会福利、社会事务、社会治理工作水平，积极主动为人民群众做好事、办实事、解难事，为新征程上民政事业高质量发展指明了前进方向，提供了根本遵循。</w:t>
      </w:r>
      <w:r>
        <w:rPr>
          <w:rFonts w:hint="eastAsia" w:ascii="仿宋_GB2312" w:hAnsi="仿宋_GB2312" w:eastAsia="仿宋_GB2312" w:cs="仿宋_GB2312"/>
          <w:i w:val="0"/>
          <w:strike w:val="0"/>
          <w:color w:val="000000"/>
          <w:spacing w:val="0"/>
          <w:sz w:val="32"/>
          <w:highlight w:val="none"/>
          <w:u w:val="none"/>
        </w:rPr>
        <w:t>“十五五”时期是基本实现社会主义现代化夯实基础、全面发力的关键时期</w:t>
      </w:r>
      <w:r>
        <w:rPr>
          <w:rFonts w:hint="eastAsia" w:ascii="仿宋_GB2312" w:hAnsi="仿宋_GB2312" w:eastAsia="仿宋_GB2312"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是深圳加快新时代经济特区建设、新征程中国特色社会主义先行示范区建设、粤港澳大湾区建设，打造社会主义现代化强国城市范例的关键时期，也是宝安区加快打造社会主义现代化先行区典范，实现跨越式发展的重要五年。面对新形势、新要求，需立足新发展阶段，贯彻新发展理念，以更高站位、更宽视野、更实举措推进民政事业高质量发展，奋力打造民生服务先行示范标杆。</w:t>
      </w:r>
    </w:p>
    <w:p w14:paraId="334522A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为推进“十五五”时期宝安区民政事业高质量发展，根据国家、省、市有关民政事业发展要求，</w:t>
      </w:r>
      <w:r>
        <w:rPr>
          <w:rFonts w:hint="eastAsia" w:ascii="仿宋_GB2312" w:hAnsi="仿宋_GB2312" w:eastAsia="仿宋_GB2312" w:cs="仿宋_GB2312"/>
          <w:i w:val="0"/>
          <w:strike w:val="0"/>
          <w:color w:val="000000"/>
          <w:spacing w:val="0"/>
          <w:sz w:val="32"/>
          <w:highlight w:val="none"/>
          <w:u w:val="none"/>
          <w:lang w:val="en-US" w:eastAsia="zh-CN"/>
        </w:rPr>
        <w:t>以及</w:t>
      </w:r>
      <w:r>
        <w:rPr>
          <w:rFonts w:ascii="仿宋_GB2312" w:hAnsi="仿宋_GB2312" w:eastAsia="仿宋_GB2312" w:cs="仿宋_GB2312"/>
          <w:i w:val="0"/>
          <w:strike w:val="0"/>
          <w:color w:val="000000"/>
          <w:spacing w:val="0"/>
          <w:sz w:val="32"/>
          <w:highlight w:val="none"/>
          <w:u w:val="none"/>
        </w:rPr>
        <w:t>《深圳市民政事业发展“十五五”规划》和《深圳市宝安区国民经济和社会发展第十五个五年规划纲要》，立足宝安区发展战略定位，结合宝安区实际制定本规划。规划明确了“十五五”期间宝安区民政事业发展的规划背景、战略目标、主要任务、重点工程和保障措施，是“十五五”期间宝安区民政事业发展的目标导向和行动指南。</w:t>
      </w:r>
    </w:p>
    <w:p w14:paraId="5F0263D3">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color w:val="000000"/>
          <w:sz w:val="32"/>
          <w:szCs w:val="32"/>
          <w:highlight w:val="none"/>
        </w:rPr>
      </w:pPr>
      <w:bookmarkStart w:id="18" w:name="_Toc20930"/>
      <w:bookmarkStart w:id="19" w:name="_Toc21972"/>
      <w:r>
        <w:rPr>
          <w:rFonts w:ascii="黑体" w:hAnsi="黑体" w:eastAsia="黑体" w:cs="黑体"/>
          <w:i w:val="0"/>
          <w:strike w:val="0"/>
          <w:color w:val="000000"/>
          <w:spacing w:val="0"/>
          <w:sz w:val="32"/>
          <w:szCs w:val="32"/>
          <w:highlight w:val="none"/>
          <w:u w:val="none"/>
        </w:rPr>
        <w:t>第一章 规划背景</w:t>
      </w:r>
      <w:bookmarkEnd w:id="18"/>
      <w:bookmarkEnd w:id="19"/>
    </w:p>
    <w:p w14:paraId="07FC8DAE">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20" w:name="_Toc9550"/>
      <w:bookmarkStart w:id="21" w:name="_Toc325"/>
      <w:r>
        <w:rPr>
          <w:rFonts w:ascii="黑体" w:hAnsi="黑体" w:eastAsia="黑体" w:cs="黑体"/>
          <w:i w:val="0"/>
          <w:strike w:val="0"/>
          <w:color w:val="000000"/>
          <w:spacing w:val="0"/>
          <w:sz w:val="32"/>
          <w:highlight w:val="none"/>
          <w:u w:val="none"/>
        </w:rPr>
        <w:t>一、发展基础</w:t>
      </w:r>
      <w:bookmarkEnd w:id="20"/>
      <w:bookmarkEnd w:id="21"/>
    </w:p>
    <w:p w14:paraId="1B1D617E">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eastAsia" w:ascii="仿宋_GB2312" w:hAnsi="仿宋_GB2312" w:eastAsia="仿宋_GB2312" w:cs="仿宋_GB2312"/>
          <w:i w:val="0"/>
          <w:strike w:val="0"/>
          <w:color w:val="000000"/>
          <w:spacing w:val="0"/>
          <w:sz w:val="32"/>
          <w:highlight w:val="none"/>
          <w:u w:val="none"/>
        </w:rPr>
        <w:t>“十四五”时期</w:t>
      </w:r>
      <w:r>
        <w:rPr>
          <w:rFonts w:hint="eastAsia" w:ascii="仿宋_GB2312" w:hAnsi="仿宋_GB2312" w:eastAsia="仿宋_GB2312" w:cs="仿宋_GB2312"/>
          <w:i w:val="0"/>
          <w:strike w:val="0"/>
          <w:color w:val="000000"/>
          <w:spacing w:val="0"/>
          <w:sz w:val="32"/>
          <w:highlight w:val="none"/>
          <w:u w:val="none"/>
          <w:lang w:val="en-US" w:eastAsia="zh-CN"/>
        </w:rPr>
        <w:t>是</w:t>
      </w:r>
      <w:r>
        <w:rPr>
          <w:rFonts w:hint="eastAsia" w:ascii="仿宋_GB2312" w:hAnsi="仿宋_GB2312" w:eastAsia="仿宋_GB2312" w:cs="仿宋_GB2312"/>
          <w:i w:val="0"/>
          <w:strike w:val="0"/>
          <w:color w:val="000000"/>
          <w:spacing w:val="0"/>
          <w:sz w:val="32"/>
          <w:highlight w:val="none"/>
          <w:u w:val="none"/>
        </w:rPr>
        <w:t>我国发展历程极不寻常、极不平凡的五年。面对错综复杂的国际形势和艰巨繁重的国内改革发展稳定任务，以习近平同志为核心的党中央团结带领全党全国各族人民，迎难而上、砥砺前行，有效应对一系列重大风险挑战</w:t>
      </w:r>
      <w:r>
        <w:rPr>
          <w:rFonts w:hint="eastAsia" w:ascii="仿宋_GB2312" w:hAnsi="仿宋_GB2312" w:eastAsia="仿宋_GB2312" w:cs="仿宋_GB2312"/>
          <w:i w:val="0"/>
          <w:strike w:val="0"/>
          <w:color w:val="000000"/>
          <w:spacing w:val="0"/>
          <w:sz w:val="32"/>
          <w:highlight w:val="none"/>
          <w:u w:val="none"/>
          <w:lang w:eastAsia="zh-CN"/>
        </w:rPr>
        <w:t>，推动党和国家事业取得历史性成就、发生历史性变革</w:t>
      </w:r>
      <w:r>
        <w:rPr>
          <w:rFonts w:hint="eastAsia" w:ascii="仿宋_GB2312" w:hAnsi="仿宋_GB2312" w:eastAsia="仿宋_GB2312" w:cs="仿宋_GB2312"/>
          <w:i w:val="0"/>
          <w:strike w:val="0"/>
          <w:color w:val="000000"/>
          <w:spacing w:val="0"/>
          <w:sz w:val="32"/>
          <w:highlight w:val="none"/>
          <w:u w:val="none"/>
        </w:rPr>
        <w:t>。在习近平新时代中国特色社会主义思想科学指引下，在广东省委省政府、深圳市委市政府坚强领导和宝安区委区政府具体部署下，宝安区民政系统始终牢记“民政工作关系民生、连着民心”的政治属性和“社会建设兜底性、基础性工作”的战略定位</w:t>
      </w:r>
      <w:r>
        <w:rPr>
          <w:rFonts w:hint="eastAsia" w:ascii="仿宋_GB2312" w:hAnsi="仿宋_GB2312" w:eastAsia="仿宋_GB2312"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聚焦特殊群体、群众关切</w:t>
      </w:r>
      <w:r>
        <w:rPr>
          <w:rFonts w:hint="eastAsia" w:ascii="仿宋_GB2312" w:hAnsi="仿宋_GB2312" w:eastAsia="仿宋_GB2312"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在基本民生保障、基层社会治理、基本社会服务等领域持续深化改革创新、强化资源统筹，</w:t>
      </w:r>
      <w:r>
        <w:rPr>
          <w:rFonts w:hint="eastAsia" w:ascii="仿宋_GB2312" w:hAnsi="仿宋_GB2312" w:eastAsia="仿宋_GB2312" w:cs="仿宋_GB2312"/>
          <w:i w:val="0"/>
          <w:strike w:val="0"/>
          <w:color w:val="000000"/>
          <w:spacing w:val="0"/>
          <w:sz w:val="32"/>
          <w:highlight w:val="none"/>
          <w:u w:val="none"/>
          <w:lang w:val="en-US" w:eastAsia="zh-CN"/>
        </w:rPr>
        <w:t>总体完成了</w:t>
      </w:r>
      <w:r>
        <w:rPr>
          <w:rFonts w:ascii="仿宋_GB2312" w:hAnsi="仿宋_GB2312" w:eastAsia="仿宋_GB2312" w:cs="仿宋_GB2312"/>
          <w:i w:val="0"/>
          <w:strike w:val="0"/>
          <w:color w:val="000000"/>
          <w:spacing w:val="0"/>
          <w:sz w:val="32"/>
          <w:highlight w:val="none"/>
          <w:u w:val="none"/>
          <w:lang w:val="en-US" w:eastAsia="zh-CN"/>
        </w:rPr>
        <w:t>“十四五”规划目标任务，为“十五五”时期民政事业高质量发展奠定了坚实基础</w:t>
      </w:r>
      <w:r>
        <w:rPr>
          <w:rFonts w:hint="eastAsia" w:ascii="仿宋_GB2312" w:hAnsi="仿宋_GB2312" w:eastAsia="仿宋_GB2312" w:cs="仿宋_GB2312"/>
          <w:i w:val="0"/>
          <w:strike w:val="0"/>
          <w:color w:val="000000"/>
          <w:spacing w:val="0"/>
          <w:sz w:val="32"/>
          <w:highlight w:val="none"/>
          <w:u w:val="none"/>
          <w:lang w:val="en-US" w:eastAsia="zh-CN"/>
        </w:rPr>
        <w:t>。</w:t>
      </w:r>
    </w:p>
    <w:p w14:paraId="7AE1F0E3">
      <w:pPr>
        <w:pStyle w:val="7"/>
        <w:keepNext/>
        <w:keepLines/>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22" w:name="_Toc30880"/>
      <w:bookmarkStart w:id="23" w:name="_Toc29398"/>
      <w:r>
        <w:rPr>
          <w:rFonts w:ascii="楷体_GB2312" w:hAnsi="楷体_GB2312" w:eastAsia="楷体_GB2312" w:cs="楷体_GB2312"/>
          <w:i w:val="0"/>
          <w:strike w:val="0"/>
          <w:color w:val="000000"/>
          <w:spacing w:val="0"/>
          <w:sz w:val="32"/>
          <w:highlight w:val="none"/>
          <w:u w:val="none"/>
        </w:rPr>
        <w:t>（一）</w:t>
      </w:r>
      <w:bookmarkEnd w:id="22"/>
      <w:r>
        <w:rPr>
          <w:rFonts w:hint="eastAsia" w:ascii="楷体_GB2312" w:hAnsi="楷体_GB2312" w:eastAsia="楷体_GB2312" w:cs="楷体_GB2312"/>
          <w:i w:val="0"/>
          <w:strike w:val="0"/>
          <w:color w:val="000000"/>
          <w:spacing w:val="0"/>
          <w:sz w:val="32"/>
          <w:highlight w:val="none"/>
          <w:u w:val="none"/>
        </w:rPr>
        <w:t>基本民生保障提标扩面</w:t>
      </w:r>
      <w:bookmarkEnd w:id="23"/>
    </w:p>
    <w:p w14:paraId="6FF77273">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i w:val="0"/>
          <w:strike w:val="0"/>
          <w:color w:val="000000"/>
          <w:spacing w:val="0"/>
          <w:sz w:val="32"/>
          <w:highlight w:val="none"/>
          <w:u w:val="none"/>
        </w:rPr>
        <w:t>社会救助体制机制持续完善。</w:t>
      </w:r>
      <w:r>
        <w:rPr>
          <w:rFonts w:ascii="仿宋_GB2312" w:hAnsi="仿宋_GB2312" w:eastAsia="仿宋_GB2312" w:cs="仿宋_GB2312"/>
          <w:i w:val="0"/>
          <w:strike w:val="0"/>
          <w:color w:val="000000"/>
          <w:spacing w:val="0"/>
          <w:sz w:val="32"/>
          <w:highlight w:val="none"/>
          <w:u w:val="none"/>
        </w:rPr>
        <w:t>“十四五”期间，宝安区深入贯彻落实习近平总书记关于民生工作的重要指示精神，持续完善分层分类社会救助体系，创新构建“1+10+124”三级救助服务网络，形成区、街道、社区协同联动的救助服务体系，系统打造“1234”救助管理模式。牵头制定深圳市地方标准《街面巡查救助工作规范》，推动街面救助工作规范化、标准化发展。持续提升困难群众兜底保障水平，建立“家庭+个人”双轨制救助模式，最低生活保障标准由1250元/人/月提高至1535元/人/月。创新建立“智慧救助+主动发现”风险预警机制，建成“智慧慈善超市”线上平台，推动“物质+服务”综合救助模式创新。相关经验获广泛认可，“探索大型城市社会救助服务新样板”入选广东省社会救助领域创新实践典型案例，“宝安区综合E救助”入围全国数字政府特色评选50强。</w:t>
      </w:r>
    </w:p>
    <w:p w14:paraId="2CECCC5B">
      <w:pPr>
        <w:pageBreakBefore w:val="0"/>
        <w:widowControl w:val="0"/>
        <w:kinsoku/>
        <w:wordWrap/>
        <w:overflowPunct/>
        <w:topLinePunct w:val="0"/>
        <w:autoSpaceDE/>
        <w:autoSpaceDN/>
        <w:bidi w:val="0"/>
        <w:adjustRightInd/>
        <w:snapToGrid/>
        <w:spacing w:before="0" w:after="0" w:line="560" w:lineRule="exact"/>
        <w:ind w:left="0" w:right="0" w:firstLine="648"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i w:val="0"/>
          <w:strike w:val="0"/>
          <w:color w:val="000000"/>
          <w:spacing w:val="7"/>
          <w:sz w:val="31"/>
          <w:highlight w:val="none"/>
          <w:u w:val="none"/>
        </w:rPr>
        <w:t>流浪乞讨人员救助管理提质增效</w:t>
      </w:r>
      <w:r>
        <w:rPr>
          <w:rFonts w:ascii="仿宋_GB2312" w:hAnsi="仿宋_GB2312" w:eastAsia="仿宋_GB2312" w:cs="仿宋_GB2312"/>
          <w:i w:val="0"/>
          <w:strike w:val="0"/>
          <w:color w:val="000000"/>
          <w:spacing w:val="7"/>
          <w:sz w:val="31"/>
          <w:highlight w:val="none"/>
          <w:u w:val="none"/>
        </w:rPr>
        <w:t>。</w:t>
      </w:r>
      <w:r>
        <w:rPr>
          <w:rFonts w:ascii="仿宋_GB2312" w:hAnsi="仿宋_GB2312" w:eastAsia="仿宋_GB2312" w:cs="仿宋_GB2312"/>
          <w:i w:val="0"/>
          <w:strike w:val="0"/>
          <w:color w:val="000000"/>
          <w:sz w:val="32"/>
          <w:highlight w:val="none"/>
          <w:u w:val="none"/>
        </w:rPr>
        <w:t>“十四五”期间，宝安区持续加强流浪乞讨人员救助管理服务，深化深中莞区域协作，联合推进“暖城计划”服务项目，推动深中通道沿线党建共建机制有效落地。不断完善街面巡查、站内救助、医疗救治、返乡安置等全链条救助服务体系，救助管理服务能力持续提升。累计实施流浪乞讨救助44659人次，站内入住9342人次，在站服务117871人天次；通过定点医院救治流浪乞讨病人24344人次；开展街面巡查救助7226次、救助9321人次，发放物资64963件；成功为1034人寻亲或核实户籍，实现救助服务精准化、规范化、温暖化。相关工作成效获上级充分肯定，民政部调研组赴区救助中心考察时，对站内救助、街头劝返、安置照料、医疗救助等工作给予高度评价；“流浪乞讨人员救助管理服务业务”在平安深圳建设考评中位列全市第一。</w:t>
      </w:r>
    </w:p>
    <w:p w14:paraId="0FC70BBF">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color w:val="000000"/>
          <w:sz w:val="32"/>
          <w:highlight w:val="none"/>
          <w:u w:val="none"/>
        </w:rPr>
      </w:pPr>
      <w:r>
        <w:rPr>
          <w:rFonts w:ascii="仿宋_GB2312" w:hAnsi="仿宋_GB2312" w:eastAsia="仿宋_GB2312" w:cs="仿宋_GB2312"/>
          <w:b/>
          <w:i w:val="0"/>
          <w:strike w:val="0"/>
          <w:color w:val="000000"/>
          <w:sz w:val="32"/>
          <w:highlight w:val="none"/>
          <w:u w:val="none"/>
        </w:rPr>
        <w:t>未成年人</w:t>
      </w:r>
      <w:r>
        <w:rPr>
          <w:rFonts w:hint="eastAsia" w:ascii="仿宋_GB2312" w:hAnsi="仿宋_GB2312" w:eastAsia="仿宋_GB2312" w:cs="仿宋_GB2312"/>
          <w:b/>
          <w:i w:val="0"/>
          <w:strike w:val="0"/>
          <w:color w:val="000000"/>
          <w:sz w:val="32"/>
          <w:highlight w:val="none"/>
          <w:u w:val="none"/>
          <w:lang w:val="en-US" w:eastAsia="zh-CN"/>
        </w:rPr>
        <w:t>救助</w:t>
      </w:r>
      <w:r>
        <w:rPr>
          <w:rFonts w:ascii="仿宋_GB2312" w:hAnsi="仿宋_GB2312" w:eastAsia="仿宋_GB2312" w:cs="仿宋_GB2312"/>
          <w:b/>
          <w:i w:val="0"/>
          <w:strike w:val="0"/>
          <w:color w:val="000000"/>
          <w:sz w:val="32"/>
          <w:highlight w:val="none"/>
          <w:u w:val="none"/>
        </w:rPr>
        <w:t>保护精准有力。</w:t>
      </w:r>
      <w:r>
        <w:rPr>
          <w:rFonts w:ascii="仿宋_GB2312" w:hAnsi="仿宋_GB2312" w:eastAsia="仿宋_GB2312" w:cs="仿宋_GB2312"/>
          <w:i w:val="0"/>
          <w:strike w:val="0"/>
          <w:color w:val="000000"/>
          <w:spacing w:val="0"/>
          <w:sz w:val="32"/>
          <w:highlight w:val="none"/>
          <w:u w:val="none"/>
        </w:rPr>
        <w:t>“十四五”期间，</w:t>
      </w:r>
      <w:r>
        <w:rPr>
          <w:rFonts w:hint="default" w:ascii="仿宋_GB2312" w:hAnsi="仿宋_GB2312" w:eastAsia="仿宋_GB2312" w:cs="仿宋_GB2312"/>
          <w:i w:val="0"/>
          <w:strike w:val="0"/>
          <w:color w:val="000000"/>
          <w:spacing w:val="0"/>
          <w:sz w:val="32"/>
          <w:highlight w:val="none"/>
          <w:u w:val="none"/>
        </w:rPr>
        <w:t>宝安区社会救助综合服务中心（区救助管理站、区未成年人救助保护中心）</w:t>
      </w:r>
      <w:r>
        <w:rPr>
          <w:rFonts w:ascii="仿宋_GB2312" w:hAnsi="仿宋_GB2312" w:eastAsia="仿宋_GB2312" w:cs="仿宋_GB2312"/>
          <w:i w:val="0"/>
          <w:strike w:val="0"/>
          <w:color w:val="000000"/>
          <w:spacing w:val="0"/>
          <w:sz w:val="32"/>
          <w:highlight w:val="none"/>
          <w:u w:val="none"/>
        </w:rPr>
        <w:t>共救助流动困境儿童</w:t>
      </w:r>
      <w:r>
        <w:rPr>
          <w:rFonts w:hint="default" w:ascii="仿宋_GB2312" w:hAnsi="仿宋_GB2312" w:eastAsia="仿宋_GB2312" w:cs="仿宋_GB2312"/>
          <w:color w:val="000000"/>
          <w:sz w:val="32"/>
          <w:szCs w:val="22"/>
          <w:highlight w:val="none"/>
          <w:u w:val="none"/>
          <w:lang w:val="en-US" w:eastAsia="zh-CN"/>
        </w:rPr>
        <w:t>764</w:t>
      </w:r>
      <w:r>
        <w:rPr>
          <w:rFonts w:hint="default" w:ascii="仿宋_GB2312" w:hAnsi="仿宋_GB2312" w:eastAsia="仿宋_GB2312" w:cs="仿宋_GB2312"/>
          <w:i w:val="0"/>
          <w:strike w:val="0"/>
          <w:color w:val="000000"/>
          <w:spacing w:val="0"/>
          <w:sz w:val="32"/>
          <w:highlight w:val="none"/>
          <w:u w:val="none"/>
          <w:lang w:eastAsia="zh-CN"/>
        </w:rPr>
        <w:t>人次</w:t>
      </w:r>
      <w:r>
        <w:rPr>
          <w:rFonts w:ascii="仿宋_GB2312" w:hAnsi="仿宋_GB2312" w:eastAsia="仿宋_GB2312" w:cs="仿宋_GB2312"/>
          <w:i w:val="0"/>
          <w:strike w:val="0"/>
          <w:color w:val="000000"/>
          <w:spacing w:val="0"/>
          <w:sz w:val="32"/>
          <w:highlight w:val="none"/>
          <w:u w:val="none"/>
        </w:rPr>
        <w:t>，入住6</w:t>
      </w:r>
      <w:r>
        <w:rPr>
          <w:rFonts w:hint="default" w:ascii="仿宋_GB2312" w:hAnsi="仿宋_GB2312" w:eastAsia="仿宋_GB2312" w:cs="仿宋_GB2312"/>
          <w:i w:val="0"/>
          <w:strike w:val="0"/>
          <w:color w:val="000000"/>
          <w:spacing w:val="0"/>
          <w:sz w:val="32"/>
          <w:highlight w:val="none"/>
          <w:u w:val="none"/>
          <w:lang w:eastAsia="zh-CN"/>
        </w:rPr>
        <w:t>2</w:t>
      </w:r>
      <w:r>
        <w:rPr>
          <w:rFonts w:hint="default" w:ascii="仿宋_GB2312" w:hAnsi="仿宋_GB2312" w:eastAsia="仿宋_GB2312" w:cs="仿宋_GB2312"/>
          <w:i w:val="0"/>
          <w:strike w:val="0"/>
          <w:color w:val="000000"/>
          <w:spacing w:val="0"/>
          <w:sz w:val="32"/>
          <w:highlight w:val="none"/>
          <w:u w:val="none"/>
          <w:lang w:val="en-US" w:eastAsia="zh-CN"/>
        </w:rPr>
        <w:t>5</w:t>
      </w:r>
      <w:r>
        <w:rPr>
          <w:rFonts w:ascii="仿宋_GB2312" w:hAnsi="仿宋_GB2312" w:eastAsia="仿宋_GB2312" w:cs="仿宋_GB2312"/>
          <w:i w:val="0"/>
          <w:strike w:val="0"/>
          <w:color w:val="000000"/>
          <w:spacing w:val="0"/>
          <w:sz w:val="32"/>
          <w:highlight w:val="none"/>
          <w:u w:val="none"/>
        </w:rPr>
        <w:t>人次，在站服务约</w:t>
      </w:r>
      <w:r>
        <w:rPr>
          <w:rFonts w:hint="default" w:ascii="仿宋_GB2312" w:hAnsi="仿宋_GB2312" w:eastAsia="仿宋_GB2312" w:cs="仿宋_GB2312"/>
          <w:i w:val="0"/>
          <w:strike w:val="0"/>
          <w:color w:val="000000"/>
          <w:spacing w:val="0"/>
          <w:sz w:val="32"/>
          <w:highlight w:val="none"/>
          <w:u w:val="none"/>
          <w:lang w:val="en-US" w:eastAsia="zh-CN"/>
        </w:rPr>
        <w:t>4344</w:t>
      </w:r>
      <w:r>
        <w:rPr>
          <w:rFonts w:ascii="仿宋_GB2312" w:hAnsi="仿宋_GB2312" w:eastAsia="仿宋_GB2312" w:cs="仿宋_GB2312"/>
          <w:i w:val="0"/>
          <w:strike w:val="0"/>
          <w:color w:val="000000"/>
          <w:spacing w:val="0"/>
          <w:sz w:val="32"/>
          <w:highlight w:val="none"/>
          <w:u w:val="none"/>
        </w:rPr>
        <w:t>人天次。开展项目活动</w:t>
      </w:r>
      <w:r>
        <w:rPr>
          <w:rFonts w:hint="default" w:ascii="仿宋_GB2312" w:hAnsi="仿宋_GB2312" w:eastAsia="仿宋_GB2312" w:cs="仿宋_GB2312"/>
          <w:i w:val="0"/>
          <w:strike w:val="0"/>
          <w:color w:val="000000"/>
          <w:spacing w:val="0"/>
          <w:sz w:val="32"/>
          <w:highlight w:val="none"/>
          <w:u w:val="none"/>
          <w:lang w:val="en-US" w:eastAsia="zh-CN"/>
        </w:rPr>
        <w:t>713</w:t>
      </w:r>
      <w:r>
        <w:rPr>
          <w:rFonts w:ascii="仿宋_GB2312" w:hAnsi="仿宋_GB2312" w:eastAsia="仿宋_GB2312" w:cs="仿宋_GB2312"/>
          <w:i w:val="0"/>
          <w:strike w:val="0"/>
          <w:color w:val="000000"/>
          <w:spacing w:val="0"/>
          <w:sz w:val="32"/>
          <w:highlight w:val="none"/>
          <w:u w:val="none"/>
        </w:rPr>
        <w:t>场，开展心理辅导3</w:t>
      </w:r>
      <w:r>
        <w:rPr>
          <w:rFonts w:hint="default" w:ascii="仿宋_GB2312" w:hAnsi="仿宋_GB2312" w:eastAsia="仿宋_GB2312" w:cs="仿宋_GB2312"/>
          <w:i w:val="0"/>
          <w:strike w:val="0"/>
          <w:color w:val="000000"/>
          <w:spacing w:val="0"/>
          <w:sz w:val="32"/>
          <w:highlight w:val="none"/>
          <w:u w:val="none"/>
          <w:lang w:val="en-US" w:eastAsia="zh-CN"/>
        </w:rPr>
        <w:t>88</w:t>
      </w:r>
      <w:r>
        <w:rPr>
          <w:rFonts w:ascii="仿宋_GB2312" w:hAnsi="仿宋_GB2312" w:eastAsia="仿宋_GB2312" w:cs="仿宋_GB2312"/>
          <w:i w:val="0"/>
          <w:strike w:val="0"/>
          <w:color w:val="000000"/>
          <w:spacing w:val="0"/>
          <w:sz w:val="32"/>
          <w:highlight w:val="none"/>
          <w:u w:val="none"/>
        </w:rPr>
        <w:t>场，跟进街道社区上报个案</w:t>
      </w:r>
      <w:r>
        <w:rPr>
          <w:rFonts w:hint="default" w:ascii="仿宋_GB2312" w:hAnsi="仿宋_GB2312" w:eastAsia="仿宋_GB2312" w:cs="仿宋_GB2312"/>
          <w:i w:val="0"/>
          <w:strike w:val="0"/>
          <w:color w:val="000000"/>
          <w:spacing w:val="0"/>
          <w:sz w:val="32"/>
          <w:highlight w:val="none"/>
          <w:u w:val="none"/>
          <w:lang w:val="en-US" w:eastAsia="zh-CN"/>
        </w:rPr>
        <w:t>91</w:t>
      </w:r>
      <w:r>
        <w:rPr>
          <w:rFonts w:ascii="仿宋_GB2312" w:hAnsi="仿宋_GB2312" w:eastAsia="仿宋_GB2312" w:cs="仿宋_GB2312"/>
          <w:i w:val="0"/>
          <w:strike w:val="0"/>
          <w:color w:val="000000"/>
          <w:spacing w:val="0"/>
          <w:sz w:val="32"/>
          <w:highlight w:val="none"/>
          <w:u w:val="none"/>
        </w:rPr>
        <w:t>例，成功护送</w:t>
      </w:r>
      <w:r>
        <w:rPr>
          <w:rFonts w:hint="default" w:ascii="仿宋_GB2312" w:hAnsi="仿宋_GB2312" w:eastAsia="仿宋_GB2312" w:cs="仿宋_GB2312"/>
          <w:i w:val="0"/>
          <w:strike w:val="0"/>
          <w:color w:val="000000"/>
          <w:spacing w:val="0"/>
          <w:sz w:val="32"/>
          <w:highlight w:val="none"/>
          <w:u w:val="none"/>
          <w:lang w:val="en-US" w:eastAsia="zh-CN"/>
        </w:rPr>
        <w:t>97</w:t>
      </w:r>
      <w:r>
        <w:rPr>
          <w:rFonts w:ascii="仿宋_GB2312" w:hAnsi="仿宋_GB2312" w:eastAsia="仿宋_GB2312" w:cs="仿宋_GB2312"/>
          <w:i w:val="0"/>
          <w:strike w:val="0"/>
          <w:color w:val="000000"/>
          <w:spacing w:val="0"/>
          <w:sz w:val="32"/>
          <w:highlight w:val="none"/>
          <w:u w:val="none"/>
        </w:rPr>
        <w:t>名困境儿童返回原籍。</w:t>
      </w:r>
    </w:p>
    <w:p w14:paraId="1BBC70FD">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24" w:name="_Toc14581"/>
      <w:bookmarkStart w:id="25" w:name="_Toc3624"/>
      <w:r>
        <w:rPr>
          <w:rFonts w:ascii="楷体_GB2312" w:hAnsi="楷体_GB2312" w:eastAsia="楷体_GB2312" w:cs="楷体_GB2312"/>
          <w:i w:val="0"/>
          <w:strike w:val="0"/>
          <w:color w:val="000000"/>
          <w:spacing w:val="0"/>
          <w:sz w:val="32"/>
          <w:highlight w:val="none"/>
          <w:u w:val="none"/>
        </w:rPr>
        <w:t>（二）</w:t>
      </w:r>
      <w:bookmarkEnd w:id="24"/>
      <w:r>
        <w:rPr>
          <w:rFonts w:hint="eastAsia" w:ascii="楷体_GB2312" w:hAnsi="楷体_GB2312" w:eastAsia="楷体_GB2312" w:cs="楷体_GB2312"/>
          <w:i w:val="0"/>
          <w:strike w:val="0"/>
          <w:color w:val="000000"/>
          <w:spacing w:val="0"/>
          <w:sz w:val="32"/>
          <w:highlight w:val="none"/>
          <w:u w:val="none"/>
        </w:rPr>
        <w:t>养老服务体系优化升级</w:t>
      </w:r>
      <w:bookmarkEnd w:id="25"/>
    </w:p>
    <w:p w14:paraId="3B6313C0">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8"/>
          <w:sz w:val="31"/>
          <w:highlight w:val="none"/>
          <w:u w:val="none"/>
        </w:rPr>
      </w:pPr>
      <w:r>
        <w:rPr>
          <w:rFonts w:ascii="仿宋_GB2312" w:hAnsi="仿宋_GB2312" w:eastAsia="仿宋_GB2312" w:cs="仿宋_GB2312"/>
          <w:b/>
          <w:i w:val="0"/>
          <w:strike w:val="0"/>
          <w:color w:val="000000"/>
          <w:spacing w:val="0"/>
          <w:sz w:val="32"/>
          <w:highlight w:val="none"/>
          <w:u w:val="none"/>
        </w:rPr>
        <w:t>养老服务政策体系不断健全。</w:t>
      </w:r>
      <w:r>
        <w:rPr>
          <w:rFonts w:ascii="仿宋_GB2312" w:hAnsi="仿宋_GB2312" w:eastAsia="仿宋_GB2312" w:cs="仿宋_GB2312"/>
          <w:i w:val="0"/>
          <w:strike w:val="0"/>
          <w:color w:val="000000"/>
          <w:spacing w:val="0"/>
          <w:sz w:val="32"/>
          <w:highlight w:val="none"/>
          <w:u w:val="none"/>
        </w:rPr>
        <w:t>“十四五”期间，宝安区系统化构建养老服务政策体系，编制并实施多项关键政策文件。制定出台《宝安区社区养老服务设施建设运营管理办法》，规范设施建设、运营资助及监管标准。率先出台《区级基本养老服务清单》，明确兜底保障、服务供给等4大类29项内容。以区政府名义印发《“宝颐养365”养老服务高质量发展行动方案（2024-2025年）》，同步推出《宝安区居家社区养老服务驿站建设工作方案》《宝安区智能居家适老化改造消费提升专项活动实施方案》等配套文件</w:t>
      </w:r>
      <w:r>
        <w:rPr>
          <w:rFonts w:ascii="仿宋_GB2312" w:hAnsi="仿宋_GB2312" w:eastAsia="仿宋_GB2312" w:cs="仿宋_GB2312"/>
          <w:i w:val="0"/>
          <w:strike w:val="0"/>
          <w:color w:val="000000"/>
          <w:spacing w:val="8"/>
          <w:sz w:val="31"/>
          <w:highlight w:val="none"/>
          <w:u w:val="none"/>
        </w:rPr>
        <w:t>，为全区养老服务高质量发展提供坚实制度保障。</w:t>
      </w:r>
    </w:p>
    <w:p w14:paraId="07A37F7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b/>
          <w:i w:val="0"/>
          <w:strike w:val="0"/>
          <w:color w:val="000000"/>
          <w:spacing w:val="0"/>
          <w:sz w:val="32"/>
          <w:highlight w:val="none"/>
          <w:u w:val="none"/>
        </w:rPr>
        <w:t>社区和居家养老服务水平显著提升。</w:t>
      </w:r>
      <w:r>
        <w:rPr>
          <w:rFonts w:ascii="仿宋_GB2312" w:hAnsi="仿宋_GB2312" w:eastAsia="仿宋_GB2312" w:cs="仿宋_GB2312"/>
          <w:i w:val="0"/>
          <w:strike w:val="0"/>
          <w:color w:val="000000"/>
          <w:spacing w:val="0"/>
          <w:sz w:val="32"/>
          <w:highlight w:val="none"/>
          <w:u w:val="none"/>
        </w:rPr>
        <w:t>“十四五”期间，宝安区通过养老服务网络建设与智慧赋能，显著提升社区居家养老可及性。设施网络持续完善，启动街道、社区、小区、家庭“四级养老服务网络”建设，新建街道长者服务中心2家、社区站点8家，实现街道级中心全覆盖，建成居家社区养老服务驿站387个。服务能力</w:t>
      </w:r>
      <w:r>
        <w:rPr>
          <w:rFonts w:hint="default" w:ascii="仿宋_GB2312" w:hAnsi="仿宋_GB2312" w:eastAsia="仿宋_GB2312" w:cs="仿宋_GB2312"/>
          <w:i w:val="0"/>
          <w:strike w:val="0"/>
          <w:color w:val="000000"/>
          <w:spacing w:val="0"/>
          <w:sz w:val="32"/>
          <w:highlight w:val="none"/>
          <w:u w:val="none"/>
          <w:lang w:val="en-US" w:eastAsia="zh-CN"/>
        </w:rPr>
        <w:t>显著</w:t>
      </w:r>
      <w:r>
        <w:rPr>
          <w:rFonts w:ascii="仿宋_GB2312" w:hAnsi="仿宋_GB2312" w:eastAsia="仿宋_GB2312" w:cs="仿宋_GB2312"/>
          <w:i w:val="0"/>
          <w:strike w:val="0"/>
          <w:color w:val="000000"/>
          <w:spacing w:val="0"/>
          <w:sz w:val="32"/>
          <w:highlight w:val="none"/>
          <w:u w:val="none"/>
        </w:rPr>
        <w:t>提升，每千名户籍老人床位数达58张，超国家标准65%。智慧养老全面落地，打造“智慧助餐”“刷脸用餐”服务模式，建成“宝安区智慧养老服务平台”，融合AI技术实现“秘书云服务+穿戴设备+精准定位”，并与“宝安e护到家”平台联通，提供14大类60余项上门服务。品牌建设成果显著，“宝颐养365”服务模式入选全国城乡社区高质量发展典型案例及深圳市十佳改革创新案例。</w:t>
      </w:r>
    </w:p>
    <w:p w14:paraId="39BBF99B">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eastAsia="zh-CN"/>
        </w:rPr>
      </w:pPr>
      <w:r>
        <w:rPr>
          <w:rFonts w:ascii="仿宋_GB2312" w:hAnsi="仿宋_GB2312" w:eastAsia="仿宋_GB2312" w:cs="仿宋_GB2312"/>
          <w:b/>
          <w:i w:val="0"/>
          <w:strike w:val="0"/>
          <w:color w:val="000000"/>
          <w:spacing w:val="0"/>
          <w:sz w:val="32"/>
          <w:highlight w:val="none"/>
          <w:u w:val="none"/>
        </w:rPr>
        <w:t>示范性设施与产业协同发展取得突破。</w:t>
      </w:r>
      <w:r>
        <w:rPr>
          <w:rFonts w:hint="eastAsia" w:ascii="仿宋_GB2312" w:hAnsi="仿宋_GB2312" w:eastAsia="仿宋_GB2312" w:cs="仿宋_GB2312"/>
          <w:i w:val="0"/>
          <w:strike w:val="0"/>
          <w:color w:val="000000"/>
          <w:sz w:val="32"/>
          <w:highlight w:val="none"/>
          <w:u w:val="none"/>
          <w:lang w:eastAsia="zh-CN"/>
        </w:rPr>
        <w:t>“十四五”期间，</w:t>
      </w:r>
      <w:r>
        <w:rPr>
          <w:rFonts w:hint="eastAsia" w:ascii="仿宋_GB2312" w:hAnsi="仿宋_GB2312" w:eastAsia="仿宋_GB2312" w:cs="仿宋_GB2312"/>
          <w:i w:val="0"/>
          <w:strike w:val="0"/>
          <w:color w:val="000000"/>
          <w:spacing w:val="0"/>
          <w:sz w:val="32"/>
          <w:highlight w:val="none"/>
          <w:u w:val="none"/>
          <w:lang w:val="en-US" w:eastAsia="zh-CN"/>
        </w:rPr>
        <w:t>宝安区着力推动养老事业与银发产业互促共进，取得系列成果。设施示范树立标杆，建成运营全市单体规模最大的区级养老院（设置床位1000张），通过优化布局、创新模式、植入立体街区理念，在集约用地、破解大城市养老空间瓶颈方面形成“宝安范式”，为全国大型城市养老服务发展提供经验借鉴；产业生态初步构建，积极履行市养老产业链党委牵头区职责，推动一批优质企业加入产业链。成功申报深圳市银发经济产业园（宝安分园），推动成立区银发经济产业协会，有效整合区内资源；协同创新平台落地，</w:t>
      </w:r>
      <w:r>
        <w:rPr>
          <w:rFonts w:hint="eastAsia" w:ascii="仿宋_GB2312" w:hAnsi="仿宋_GB2312" w:eastAsia="仿宋_GB2312" w:cs="仿宋_GB2312"/>
          <w:i w:val="0"/>
          <w:strike w:val="0"/>
          <w:color w:val="000000"/>
          <w:sz w:val="32"/>
          <w:highlight w:val="none"/>
          <w:u w:val="none"/>
          <w:lang w:eastAsia="zh-CN"/>
        </w:rPr>
        <w:t>引进中国社会福利与养老服务协会科技养老服务分会，联合成立“宝安区中科银发科技研究院”，共同开展技术研发、成果转化与场景应用，初步形成了“产学研用”协同创新的银发经济发展生态。</w:t>
      </w:r>
    </w:p>
    <w:p w14:paraId="36533229">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26" w:name="_Toc23329"/>
      <w:bookmarkStart w:id="27" w:name="_Toc2679"/>
      <w:r>
        <w:rPr>
          <w:rFonts w:ascii="楷体_GB2312" w:hAnsi="楷体_GB2312" w:eastAsia="楷体_GB2312" w:cs="楷体_GB2312"/>
          <w:i w:val="0"/>
          <w:strike w:val="0"/>
          <w:color w:val="000000"/>
          <w:spacing w:val="0"/>
          <w:sz w:val="32"/>
          <w:highlight w:val="none"/>
          <w:u w:val="none"/>
        </w:rPr>
        <w:t>（三）</w:t>
      </w:r>
      <w:r>
        <w:rPr>
          <w:rFonts w:hint="eastAsia" w:ascii="楷体_GB2312" w:hAnsi="楷体_GB2312" w:eastAsia="楷体_GB2312" w:cs="楷体_GB2312"/>
          <w:i w:val="0"/>
          <w:strike w:val="0"/>
          <w:color w:val="000000"/>
          <w:spacing w:val="0"/>
          <w:sz w:val="32"/>
          <w:highlight w:val="none"/>
          <w:u w:val="none"/>
        </w:rPr>
        <w:t>基层与社区治理协同增效</w:t>
      </w:r>
      <w:bookmarkEnd w:id="26"/>
      <w:bookmarkEnd w:id="27"/>
    </w:p>
    <w:p w14:paraId="4746845A">
      <w:pPr>
        <w:pageBreakBefore w:val="0"/>
        <w:widowControl w:val="0"/>
        <w:kinsoku/>
        <w:wordWrap/>
        <w:overflowPunct/>
        <w:topLinePunct w:val="0"/>
        <w:autoSpaceDE/>
        <w:autoSpaceDN/>
        <w:bidi w:val="0"/>
        <w:adjustRightInd/>
        <w:snapToGrid/>
        <w:spacing w:before="0" w:after="0" w:line="560" w:lineRule="exact"/>
        <w:ind w:left="0" w:right="0" w:firstLine="648" w:firstLineChars="200"/>
        <w:jc w:val="both"/>
        <w:textAlignment w:val="auto"/>
        <w:rPr>
          <w:color w:val="000000"/>
          <w:highlight w:val="none"/>
        </w:rPr>
      </w:pPr>
      <w:r>
        <w:rPr>
          <w:rFonts w:ascii="仿宋_GB2312" w:hAnsi="仿宋_GB2312" w:eastAsia="仿宋_GB2312" w:cs="仿宋_GB2312"/>
          <w:b/>
          <w:i w:val="0"/>
          <w:strike w:val="0"/>
          <w:color w:val="000000"/>
          <w:spacing w:val="7"/>
          <w:sz w:val="31"/>
          <w:highlight w:val="none"/>
          <w:u w:val="none"/>
        </w:rPr>
        <w:t>社区治理体系持续健全。</w:t>
      </w:r>
      <w:r>
        <w:rPr>
          <w:rFonts w:ascii="仿宋_GB2312" w:hAnsi="仿宋_GB2312" w:eastAsia="仿宋_GB2312" w:cs="仿宋_GB2312"/>
          <w:i w:val="0"/>
          <w:strike w:val="0"/>
          <w:color w:val="000000"/>
          <w:spacing w:val="0"/>
          <w:sz w:val="32"/>
          <w:highlight w:val="none"/>
          <w:u w:val="none"/>
        </w:rPr>
        <w:t>“</w:t>
      </w:r>
      <w:r>
        <w:rPr>
          <w:rFonts w:ascii="仿宋_GB2312" w:hAnsi="仿宋_GB2312" w:eastAsia="仿宋_GB2312" w:cs="仿宋_GB2312"/>
          <w:i w:val="0"/>
          <w:strike w:val="0"/>
          <w:color w:val="000000"/>
          <w:sz w:val="32"/>
          <w:highlight w:val="none"/>
          <w:u w:val="none"/>
        </w:rPr>
        <w:t>十四五”期间，宝安区持续深化社区治理体制改革，创新数据赋能智慧社区机制，构建“AI+社区治理”新模式，落地光储能移动哨兵、广场舞定向音柱等各类智慧应用场景，被中央网信办、民政部等中央八部委联合评定为“国家智能社会治理实验基地-社区治理特色基地”（2021-2025）。《创新建设“国家智能社会治理实验基地社区治理特色基地”</w:t>
      </w:r>
      <w:r>
        <w:rPr>
          <w:rFonts w:hint="eastAsia" w:ascii="仿宋_GB2312" w:hAnsi="仿宋_GB2312" w:eastAsia="仿宋_GB2312" w:cs="仿宋_GB2312"/>
          <w:i w:val="0"/>
          <w:strike w:val="0"/>
          <w:color w:val="000000"/>
          <w:sz w:val="32"/>
          <w:highlight w:val="none"/>
          <w:u w:val="none"/>
          <w:lang w:eastAsia="zh-CN"/>
        </w:rPr>
        <w:t>，</w:t>
      </w:r>
      <w:r>
        <w:rPr>
          <w:rFonts w:ascii="仿宋_GB2312" w:hAnsi="仿宋_GB2312" w:eastAsia="仿宋_GB2312" w:cs="仿宋_GB2312"/>
          <w:i w:val="0"/>
          <w:strike w:val="0"/>
          <w:color w:val="000000"/>
          <w:sz w:val="32"/>
          <w:highlight w:val="none"/>
          <w:u w:val="none"/>
        </w:rPr>
        <w:t>超前打造“智慧社区”》案例成功入选“全国社会治理创新案例（2023）”，《深圳市宝安区创新打造“智慧社区”》案例成功入选“2023年数标指数全国典型实践50强”。打造“智慧社区”建设相关做法在全国数字社会建设与社区服务创新交流会上作经验分享，并在全国推广。</w:t>
      </w:r>
    </w:p>
    <w:p w14:paraId="5E441D61">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b/>
          <w:i w:val="0"/>
          <w:strike w:val="0"/>
          <w:color w:val="000000"/>
          <w:spacing w:val="0"/>
          <w:sz w:val="32"/>
          <w:highlight w:val="none"/>
          <w:u w:val="none"/>
        </w:rPr>
        <w:t>社区治理结构显著优化。</w:t>
      </w:r>
      <w:r>
        <w:rPr>
          <w:rFonts w:ascii="仿宋_GB2312" w:hAnsi="仿宋_GB2312" w:eastAsia="仿宋_GB2312" w:cs="仿宋_GB2312"/>
          <w:i w:val="0"/>
          <w:strike w:val="0"/>
          <w:color w:val="000000"/>
          <w:sz w:val="32"/>
          <w:highlight w:val="none"/>
          <w:u w:val="none"/>
        </w:rPr>
        <w:t>“十四五”期间，开展自建区以来规模最大的两轮社区优化调整，共撤销7个社区，新增12个社区、2个居委会，调整71个社区管辖边界，调整后全区社区规模总体比较均衡，原有的“插花地”问题基本消除。全区现下辖10个街道，共有社区129个、居委会142个，社区精细化治理、精准化服务水平明显提升。</w:t>
      </w:r>
    </w:p>
    <w:p w14:paraId="3CC08EFE">
      <w:pPr>
        <w:pageBreakBefore w:val="0"/>
        <w:widowControl w:val="0"/>
        <w:kinsoku/>
        <w:wordWrap/>
        <w:overflowPunct/>
        <w:topLinePunct w:val="0"/>
        <w:autoSpaceDE/>
        <w:autoSpaceDN/>
        <w:bidi w:val="0"/>
        <w:adjustRightInd/>
        <w:snapToGrid/>
        <w:spacing w:before="0" w:after="0" w:line="560" w:lineRule="exact"/>
        <w:ind w:right="0" w:firstLine="644" w:firstLineChars="200"/>
        <w:jc w:val="both"/>
        <w:textAlignment w:val="auto"/>
        <w:rPr>
          <w:rFonts w:hint="eastAsia" w:ascii="仿宋_GB2312" w:hAnsi="仿宋_GB2312" w:eastAsia="仿宋_GB2312" w:cs="仿宋_GB2312"/>
          <w:i w:val="0"/>
          <w:strike w:val="0"/>
          <w:color w:val="000000"/>
          <w:spacing w:val="0"/>
          <w:sz w:val="32"/>
          <w:highlight w:val="none"/>
          <w:u w:val="none"/>
          <w:lang w:val="en-US" w:eastAsia="zh-CN"/>
        </w:rPr>
      </w:pPr>
      <w:r>
        <w:rPr>
          <w:rFonts w:ascii="仿宋_GB2312" w:hAnsi="仿宋_GB2312" w:eastAsia="仿宋_GB2312" w:cs="仿宋_GB2312"/>
          <w:b/>
          <w:i w:val="0"/>
          <w:strike w:val="0"/>
          <w:color w:val="000000"/>
          <w:spacing w:val="6"/>
          <w:sz w:val="31"/>
          <w:highlight w:val="none"/>
          <w:u w:val="none"/>
        </w:rPr>
        <w:t>社会组织服务能力显著提升。</w:t>
      </w:r>
      <w:r>
        <w:rPr>
          <w:rFonts w:hint="eastAsia" w:ascii="仿宋_GB2312" w:hAnsi="仿宋_GB2312" w:eastAsia="仿宋_GB2312" w:cs="仿宋_GB2312"/>
          <w:i w:val="0"/>
          <w:strike w:val="0"/>
          <w:color w:val="000000"/>
          <w:spacing w:val="0"/>
          <w:sz w:val="32"/>
          <w:highlight w:val="none"/>
          <w:u w:val="none"/>
          <w:lang w:val="en-US" w:eastAsia="zh-CN"/>
        </w:rPr>
        <w:t>“十四五”期间，宝安区坚持党建引领与精准培育双轮驱动，持续提升社会组织服务能力和治理效能。新建社会组织党组织28家，创新打造“薪火党建工作室”品牌，配套建立“轮值主持人+导师帮带+项目孵化”工作机制，成功培育的典型案例先后荣获全国社会工作党建创新典型案例一等奖和省级党建工作示范点称号。围绕基层治理和产业发展需求，指导8家社会组织创建市级矛盾纠纷调解室，培育福永街道楼栋长联合会等“明星调解组织”，实现“一集群一协会”全覆盖，累计培育孵化重点领域行业协会15家。持续健全社会组织支持体系，修订完善《社会组织登记指引》，实施资金扶持计划资助35个项目共237万元，推动44个行业协会商会减免会费338.3万元。社会组织参与社会治理更加深入，组织50余个社会组织及党组织参与乡村振兴，累计开展服务80余场，服务群众1.6万余人次，形成“党建+服务+公益”协同治理新模式。</w:t>
      </w:r>
    </w:p>
    <w:p w14:paraId="06645802">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28" w:name="_Toc3427"/>
      <w:bookmarkStart w:id="29" w:name="_Toc22361"/>
      <w:r>
        <w:rPr>
          <w:rFonts w:ascii="楷体_GB2312" w:hAnsi="楷体_GB2312" w:eastAsia="楷体_GB2312" w:cs="楷体_GB2312"/>
          <w:i w:val="0"/>
          <w:strike w:val="0"/>
          <w:color w:val="000000"/>
          <w:spacing w:val="0"/>
          <w:sz w:val="32"/>
          <w:highlight w:val="none"/>
          <w:u w:val="none"/>
        </w:rPr>
        <w:t>（四）</w:t>
      </w:r>
      <w:bookmarkEnd w:id="28"/>
      <w:r>
        <w:rPr>
          <w:rFonts w:hint="eastAsia" w:ascii="楷体_GB2312" w:hAnsi="楷体_GB2312" w:eastAsia="楷体_GB2312" w:cs="楷体_GB2312"/>
          <w:i w:val="0"/>
          <w:strike w:val="0"/>
          <w:color w:val="000000"/>
          <w:spacing w:val="0"/>
          <w:sz w:val="32"/>
          <w:highlight w:val="none"/>
          <w:u w:val="none"/>
        </w:rPr>
        <w:t>社会福利体系健全稳固</w:t>
      </w:r>
      <w:bookmarkEnd w:id="29"/>
    </w:p>
    <w:p w14:paraId="5EE96D6B">
      <w:pPr>
        <w:spacing w:line="560" w:lineRule="exact"/>
        <w:ind w:left="0" w:firstLine="648" w:firstLineChars="200"/>
      </w:pPr>
      <w:r>
        <w:rPr>
          <w:rFonts w:ascii="仿宋_GB2312" w:hAnsi="仿宋_GB2312" w:eastAsia="仿宋_GB2312" w:cs="仿宋_GB2312"/>
          <w:b/>
          <w:i w:val="0"/>
          <w:strike w:val="0"/>
          <w:color w:val="000000"/>
          <w:spacing w:val="7"/>
          <w:sz w:val="31"/>
          <w:highlight w:val="none"/>
          <w:u w:val="none"/>
        </w:rPr>
        <w:t>老年人社会福利水平显著提高。</w:t>
      </w:r>
      <w:r>
        <w:rPr>
          <w:rFonts w:ascii="仿宋_GB2312" w:hAnsi="仿宋_GB2312" w:eastAsia="仿宋_GB2312" w:cs="仿宋_GB2312"/>
          <w:i w:val="0"/>
          <w:strike w:val="0"/>
          <w:color w:val="000000"/>
          <w:spacing w:val="0"/>
          <w:sz w:val="32"/>
          <w:highlight w:val="none"/>
          <w:u w:val="none"/>
        </w:rPr>
        <w:t>“十四五”期间，建成“区-街道-社区”三级养老服务网络，居家适老化改造惠及2327户家庭，试点投放公益无障碍辅具共享智能柜10个。</w:t>
      </w:r>
      <w:r>
        <w:rPr>
          <w:rFonts w:hint="eastAsia" w:ascii="仿宋_GB2312" w:hAnsi="仿宋_GB2312" w:eastAsia="仿宋_GB2312" w:cs="仿宋_GB2312"/>
          <w:i w:val="0"/>
          <w:strike w:val="0"/>
          <w:color w:val="000000"/>
          <w:spacing w:val="0"/>
          <w:sz w:val="32"/>
          <w:highlight w:val="none"/>
          <w:u w:val="none"/>
        </w:rPr>
        <w:t>创建</w:t>
      </w:r>
      <w:r>
        <w:rPr>
          <w:rFonts w:ascii="仿宋_GB2312" w:hAnsi="仿宋_GB2312" w:eastAsia="仿宋_GB2312" w:cs="仿宋_GB2312"/>
          <w:i w:val="0"/>
          <w:strike w:val="0"/>
          <w:color w:val="000000"/>
          <w:spacing w:val="0"/>
          <w:sz w:val="32"/>
          <w:highlight w:val="none"/>
          <w:u w:val="none"/>
        </w:rPr>
        <w:t>全国示范性老年友好型社区</w:t>
      </w:r>
      <w:r>
        <w:rPr>
          <w:rFonts w:hint="eastAsia" w:ascii="仿宋_GB2312" w:hAnsi="仿宋_GB2312" w:eastAsia="仿宋_GB2312" w:cs="仿宋_GB2312"/>
          <w:i w:val="0"/>
          <w:strike w:val="0"/>
          <w:color w:val="000000"/>
          <w:spacing w:val="0"/>
          <w:sz w:val="32"/>
          <w:highlight w:val="none"/>
          <w:u w:val="none"/>
        </w:rPr>
        <w:t>2</w:t>
      </w:r>
      <w:r>
        <w:rPr>
          <w:rFonts w:ascii="仿宋_GB2312" w:hAnsi="仿宋_GB2312" w:eastAsia="仿宋_GB2312" w:cs="仿宋_GB2312"/>
          <w:i w:val="0"/>
          <w:strike w:val="0"/>
          <w:color w:val="000000"/>
          <w:spacing w:val="0"/>
          <w:sz w:val="32"/>
          <w:highlight w:val="none"/>
          <w:u w:val="none"/>
        </w:rPr>
        <w:t>个，为60岁以上户籍老人投保意外险。深化医养结合改革，全区53家社区养老服务设施与社康签订“医养结合”合作协议，签约率达100</w:t>
      </w:r>
      <w:r>
        <w:rPr>
          <w:rFonts w:ascii="仿宋_GB2312" w:hAnsi="仿宋_GB2312" w:eastAsia="仿宋_GB2312" w:cs="仿宋_GB2312"/>
          <w:i w:val="0"/>
          <w:strike w:val="0"/>
          <w:color w:val="000000"/>
          <w:sz w:val="32"/>
          <w:highlight w:val="none"/>
          <w:u w:val="none"/>
        </w:rPr>
        <w:t>%</w:t>
      </w:r>
      <w:r>
        <w:rPr>
          <w:rFonts w:ascii="仿宋_GB2312" w:hAnsi="仿宋_GB2312" w:eastAsia="仿宋_GB2312" w:cs="仿宋_GB2312"/>
          <w:i w:val="0"/>
          <w:strike w:val="0"/>
          <w:color w:val="000000"/>
          <w:spacing w:val="0"/>
          <w:sz w:val="32"/>
          <w:highlight w:val="none"/>
          <w:u w:val="none"/>
        </w:rPr>
        <w:t>。</w:t>
      </w:r>
    </w:p>
    <w:p w14:paraId="78F2ABDE">
      <w:pPr>
        <w:pageBreakBefore w:val="0"/>
        <w:widowControl w:val="0"/>
        <w:kinsoku/>
        <w:wordWrap/>
        <w:overflowPunct/>
        <w:topLinePunct w:val="0"/>
        <w:autoSpaceDE/>
        <w:autoSpaceDN/>
        <w:bidi w:val="0"/>
        <w:adjustRightInd/>
        <w:snapToGrid/>
        <w:spacing w:before="0" w:after="0" w:line="560" w:lineRule="exact"/>
        <w:ind w:left="0" w:right="0" w:firstLine="648" w:firstLineChars="200"/>
        <w:jc w:val="both"/>
        <w:textAlignment w:val="auto"/>
        <w:rPr>
          <w:rFonts w:ascii="仿宋_GB2312" w:hAnsi="仿宋_GB2312" w:eastAsia="仿宋_GB2312" w:cs="仿宋_GB2312"/>
          <w:b w:val="0"/>
          <w:i w:val="0"/>
          <w:strike w:val="0"/>
          <w:color w:val="000000"/>
          <w:spacing w:val="0"/>
          <w:sz w:val="32"/>
          <w:highlight w:val="none"/>
          <w:u w:val="none"/>
        </w:rPr>
      </w:pPr>
      <w:r>
        <w:rPr>
          <w:rFonts w:ascii="仿宋_GB2312" w:hAnsi="仿宋_GB2312" w:eastAsia="仿宋_GB2312" w:cs="仿宋_GB2312"/>
          <w:b/>
          <w:i w:val="0"/>
          <w:strike w:val="0"/>
          <w:color w:val="000000"/>
          <w:spacing w:val="7"/>
          <w:sz w:val="31"/>
          <w:highlight w:val="none"/>
          <w:u w:val="none"/>
        </w:rPr>
        <w:t>儿童福利工作</w:t>
      </w:r>
      <w:r>
        <w:rPr>
          <w:rFonts w:hint="eastAsia" w:ascii="仿宋_GB2312" w:hAnsi="仿宋_GB2312" w:eastAsia="仿宋_GB2312" w:cs="仿宋_GB2312"/>
          <w:b/>
          <w:bCs w:val="0"/>
          <w:i w:val="0"/>
          <w:strike w:val="0"/>
          <w:color w:val="000000"/>
          <w:spacing w:val="7"/>
          <w:sz w:val="31"/>
          <w:highlight w:val="none"/>
          <w:u w:val="none"/>
          <w:lang w:val="en-US" w:eastAsia="zh-CN"/>
        </w:rPr>
        <w:t>稳步推进</w:t>
      </w:r>
      <w:r>
        <w:rPr>
          <w:rFonts w:ascii="仿宋_GB2312" w:hAnsi="仿宋_GB2312" w:eastAsia="仿宋_GB2312" w:cs="仿宋_GB2312"/>
          <w:b/>
          <w:i w:val="0"/>
          <w:strike w:val="0"/>
          <w:color w:val="000000"/>
          <w:spacing w:val="7"/>
          <w:sz w:val="31"/>
          <w:highlight w:val="none"/>
          <w:u w:val="none"/>
        </w:rPr>
        <w:t>。</w:t>
      </w:r>
      <w:r>
        <w:rPr>
          <w:rFonts w:hint="eastAsia" w:ascii="仿宋_GB2312" w:hAnsi="仿宋_GB2312" w:eastAsia="仿宋_GB2312" w:cs="仿宋_GB2312"/>
          <w:b w:val="0"/>
          <w:i w:val="0"/>
          <w:strike w:val="0"/>
          <w:color w:val="000000"/>
          <w:spacing w:val="0"/>
          <w:sz w:val="32"/>
          <w:highlight w:val="none"/>
          <w:u w:val="none"/>
        </w:rPr>
        <w:t>“十四五”期间，宝安区儿童福利体系建设稳步推进，成为全省唯二、全市唯一获批民政部“加强困境儿童关爱服务试点项目”的地区。孤儿基本生活养育标准由2432元/人/月提高至2700元/人/月，孤儿及事实无人抚养儿童实现应保尽保</w:t>
      </w:r>
      <w:r>
        <w:rPr>
          <w:rFonts w:hint="eastAsia" w:ascii="仿宋_GB2312" w:hAnsi="仿宋_GB2312" w:eastAsia="仿宋_GB2312" w:cs="仿宋_GB2312"/>
          <w:b w:val="0"/>
          <w:i w:val="0"/>
          <w:strike w:val="0"/>
          <w:color w:val="000000"/>
          <w:spacing w:val="0"/>
          <w:sz w:val="32"/>
          <w:highlight w:val="none"/>
          <w:u w:val="none"/>
          <w:lang w:eastAsia="zh-CN"/>
        </w:rPr>
        <w:t>，</w:t>
      </w:r>
      <w:r>
        <w:rPr>
          <w:rFonts w:hint="eastAsia" w:ascii="仿宋_GB2312" w:hAnsi="仿宋_GB2312" w:eastAsia="仿宋_GB2312" w:cs="仿宋_GB2312"/>
          <w:b w:val="0"/>
          <w:i w:val="0"/>
          <w:strike w:val="0"/>
          <w:color w:val="000000"/>
          <w:spacing w:val="0"/>
          <w:sz w:val="32"/>
          <w:highlight w:val="none"/>
          <w:u w:val="none"/>
        </w:rPr>
        <w:t>成功办理全省首例事实无人抚养儿童“跨省通办”认定，儿童福利保障基础进一步夯实。率先成立区未成年人保护工作委员会，建成“区—街道—社区”三级未成年人救助保护体系，未成年人</w:t>
      </w:r>
      <w:r>
        <w:rPr>
          <w:rFonts w:hint="eastAsia" w:ascii="仿宋_GB2312" w:hAnsi="仿宋_GB2312" w:eastAsia="仿宋_GB2312" w:cs="仿宋_GB2312"/>
          <w:b w:val="0"/>
          <w:i w:val="0"/>
          <w:strike w:val="0"/>
          <w:color w:val="000000"/>
          <w:spacing w:val="0"/>
          <w:sz w:val="32"/>
          <w:highlight w:val="none"/>
          <w:u w:val="none"/>
          <w:lang w:val="en-US" w:eastAsia="zh-CN"/>
        </w:rPr>
        <w:t>救助</w:t>
      </w:r>
      <w:r>
        <w:rPr>
          <w:rFonts w:hint="eastAsia" w:ascii="仿宋_GB2312" w:hAnsi="仿宋_GB2312" w:eastAsia="仿宋_GB2312" w:cs="仿宋_GB2312"/>
          <w:b w:val="0"/>
          <w:i w:val="0"/>
          <w:strike w:val="0"/>
          <w:color w:val="000000"/>
          <w:spacing w:val="0"/>
          <w:sz w:val="32"/>
          <w:highlight w:val="none"/>
          <w:u w:val="none"/>
        </w:rPr>
        <w:t>保护体制机制不断完善。打造“深护童心·宝未成长”</w:t>
      </w:r>
      <w:r>
        <w:rPr>
          <w:rFonts w:hint="eastAsia" w:ascii="仿宋_GB2312" w:hAnsi="仿宋_GB2312" w:eastAsia="仿宋_GB2312" w:cs="仿宋_GB2312"/>
          <w:b w:val="0"/>
          <w:i w:val="0"/>
          <w:strike w:val="0"/>
          <w:color w:val="000000"/>
          <w:spacing w:val="0"/>
          <w:sz w:val="32"/>
          <w:highlight w:val="none"/>
          <w:u w:val="none"/>
          <w:lang w:val="en-US" w:eastAsia="zh-CN"/>
        </w:rPr>
        <w:t>特色</w:t>
      </w:r>
      <w:r>
        <w:rPr>
          <w:rFonts w:hint="eastAsia" w:ascii="仿宋_GB2312" w:hAnsi="仿宋_GB2312" w:eastAsia="仿宋_GB2312" w:cs="仿宋_GB2312"/>
          <w:b w:val="0"/>
          <w:i w:val="0"/>
          <w:strike w:val="0"/>
          <w:color w:val="000000"/>
          <w:spacing w:val="0"/>
          <w:sz w:val="32"/>
          <w:highlight w:val="none"/>
          <w:u w:val="none"/>
        </w:rPr>
        <w:t>品牌，相关经验在全国、全省会议交流，并在《中国民政》刊发，入选第二十一次广东民政会议创新经验汇编，获国家、省、市宣传推广。创新开展特殊儿童关爱服务，成立“中国工艺美术大师曹爱勤（深圳宝安）工作室”，推动非遗技艺传承，“心有梦想、遇见未来”特殊群体艺术展巡展观展超10万人次，获民政部、中国残联充分肯定。同时，区社会福利中心沙井新址迁建项目稳步推进，设置床位450张，将于“十五五”期间投入使用。依法依规做好收养登记工作，累计办理各类收养及解除收养业务17宗</w:t>
      </w:r>
      <w:r>
        <w:rPr>
          <w:rFonts w:hint="eastAsia" w:ascii="仿宋_GB2312" w:hAnsi="仿宋_GB2312" w:eastAsia="仿宋_GB2312" w:cs="仿宋_GB2312"/>
          <w:b w:val="0"/>
          <w:i w:val="0"/>
          <w:strike w:val="0"/>
          <w:color w:val="000000"/>
          <w:spacing w:val="0"/>
          <w:sz w:val="32"/>
          <w:highlight w:val="none"/>
          <w:u w:val="none"/>
          <w:lang w:eastAsia="zh-CN"/>
        </w:rPr>
        <w:t>。</w:t>
      </w:r>
    </w:p>
    <w:p w14:paraId="4C5BDD71">
      <w:pPr>
        <w:pageBreakBefore w:val="0"/>
        <w:widowControl w:val="0"/>
        <w:pBdr>
          <w:bottom w:val="none" w:color="auto" w:sz="0" w:space="0"/>
        </w:pBdr>
        <w:kinsoku/>
        <w:wordWrap/>
        <w:overflowPunct/>
        <w:topLinePunct w:val="0"/>
        <w:autoSpaceDE/>
        <w:autoSpaceDN/>
        <w:bidi w:val="0"/>
        <w:adjustRightInd/>
        <w:snapToGrid/>
        <w:spacing w:line="560" w:lineRule="exact"/>
        <w:ind w:firstLine="648" w:firstLineChars="200"/>
        <w:textAlignment w:val="auto"/>
        <w:rPr>
          <w:rFonts w:hint="eastAsia" w:ascii="仿宋_GB2312" w:hAnsi="仿宋_GB2312" w:eastAsia="仿宋_GB2312" w:cs="仿宋_GB2312"/>
          <w:i w:val="0"/>
          <w:strike w:val="0"/>
          <w:color w:val="000000"/>
          <w:spacing w:val="0"/>
          <w:sz w:val="32"/>
          <w:highlight w:val="none"/>
          <w:u w:val="none"/>
          <w:lang w:val="en-US" w:eastAsia="zh-CN"/>
        </w:rPr>
      </w:pPr>
      <w:r>
        <w:rPr>
          <w:rFonts w:ascii="仿宋_GB2312" w:hAnsi="仿宋_GB2312" w:eastAsia="仿宋_GB2312" w:cs="仿宋_GB2312"/>
          <w:b/>
          <w:i w:val="0"/>
          <w:strike w:val="0"/>
          <w:color w:val="000000"/>
          <w:spacing w:val="7"/>
          <w:sz w:val="31"/>
          <w:highlight w:val="none"/>
          <w:u w:val="none"/>
        </w:rPr>
        <w:t>现代慈善体系初步形成。</w:t>
      </w:r>
      <w:r>
        <w:rPr>
          <w:rFonts w:hint="eastAsia" w:ascii="仿宋_GB2312" w:hAnsi="仿宋_GB2312" w:eastAsia="仿宋_GB2312" w:cs="仿宋_GB2312"/>
          <w:i w:val="0"/>
          <w:strike w:val="0"/>
          <w:color w:val="000000"/>
          <w:spacing w:val="0"/>
          <w:sz w:val="32"/>
          <w:highlight w:val="none"/>
          <w:u w:val="none"/>
          <w:lang w:val="en-US" w:eastAsia="zh-CN"/>
        </w:rPr>
        <w:t>“十四五”期间，宝安区慈善事业实现稳步发展，荣获全市唯一“鹏城慈善典范区”称号，现代慈善体系建设取得积极成效。组织基础不断夯实，成立4家区级慈善组织，设立冠名慈善基金93家，认定慈善百强企业100家，慈善参与氛围持续浓厚。慈善资源统筹和服务效能持续提升，区慈善会累计募集善款近8.93亿元，惠及超600万人次；冠名基金募集额提升至5607.2万元，精准帮扶5580人次。持续打造“慈善微跑”、公益项目大赛等品牌活动，慈善微电影《金婚》获中国公益映像节最佳微电影奖，“慈善文化进校园”项目获鹏城慈善奖，区慈善会公益慈善项目大赛先后荣获“公益友好城市推动者奖”和“2025华夏公益·创意者奖”，慈善品牌影响力不断扩大。创新慈善服务模式，在“i深圳”平台首创“智慧慈善超市”，构建“线上点单、免费配送”及“物资+服务”应急救助模式。深化“深中莞区域协作”，联合启动“暖城计划”，初步形成“基金支撑、品牌引领、智慧赋能、协同联动”的现代慈善体系。</w:t>
      </w:r>
    </w:p>
    <w:p w14:paraId="344BAE82">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30" w:name="_Toc14715"/>
      <w:bookmarkStart w:id="31" w:name="_Toc20853"/>
      <w:r>
        <w:rPr>
          <w:rFonts w:ascii="楷体_GB2312" w:hAnsi="楷体_GB2312" w:eastAsia="楷体_GB2312" w:cs="楷体_GB2312"/>
          <w:i w:val="0"/>
          <w:strike w:val="0"/>
          <w:color w:val="000000"/>
          <w:spacing w:val="0"/>
          <w:sz w:val="32"/>
          <w:highlight w:val="none"/>
          <w:u w:val="none"/>
        </w:rPr>
        <w:t>（五）</w:t>
      </w:r>
      <w:r>
        <w:rPr>
          <w:rFonts w:hint="eastAsia" w:ascii="楷体_GB2312" w:hAnsi="楷体_GB2312" w:eastAsia="楷体_GB2312" w:cs="楷体_GB2312"/>
          <w:i w:val="0"/>
          <w:strike w:val="0"/>
          <w:color w:val="000000"/>
          <w:spacing w:val="0"/>
          <w:sz w:val="32"/>
          <w:highlight w:val="none"/>
          <w:u w:val="none"/>
        </w:rPr>
        <w:t>专项社会事务管理服务优化</w:t>
      </w:r>
      <w:bookmarkEnd w:id="30"/>
      <w:bookmarkEnd w:id="31"/>
    </w:p>
    <w:p w14:paraId="5D59E473">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b/>
          <w:bCs/>
          <w:i w:val="0"/>
          <w:strike w:val="0"/>
          <w:color w:val="000000"/>
          <w:spacing w:val="0"/>
          <w:sz w:val="32"/>
          <w:highlight w:val="none"/>
          <w:u w:val="none"/>
          <w:lang w:eastAsia="zh-CN"/>
        </w:rPr>
        <w:t>婚姻登记服务提质增效。</w:t>
      </w:r>
      <w:r>
        <w:rPr>
          <w:rFonts w:hint="eastAsia" w:ascii="仿宋_GB2312" w:hAnsi="仿宋_GB2312" w:eastAsia="仿宋_GB2312" w:cs="仿宋_GB2312"/>
          <w:i w:val="0"/>
          <w:strike w:val="0"/>
          <w:color w:val="000000"/>
          <w:spacing w:val="0"/>
          <w:sz w:val="32"/>
          <w:highlight w:val="none"/>
          <w:u w:val="none"/>
          <w:lang w:eastAsia="zh-CN"/>
        </w:rPr>
        <w:t>“十四五”期间，贯彻落实婚姻登记“全城通办”“跨省通办”“全国通办”政策，近五年累计办理各类登记业务十万多宗，跨省通办业务六万多宗，业务总量与通办量稳居全市前列；严格落实“三关”审查，登记合格率、档案归档率均保持100%，无违法、无错漏。全面推行“五心”（</w:t>
      </w:r>
      <w:r>
        <w:rPr>
          <w:rFonts w:ascii="仿宋_GB2312" w:hAnsi="仿宋_GB2312" w:eastAsia="仿宋_GB2312" w:cs="仿宋_GB2312"/>
          <w:i w:val="0"/>
          <w:strike w:val="0"/>
          <w:color w:val="000000"/>
          <w:spacing w:val="0"/>
          <w:sz w:val="32"/>
          <w:highlight w:val="none"/>
          <w:u w:val="none"/>
        </w:rPr>
        <w:t>热心、耐心、细心、尽心、暖心</w:t>
      </w:r>
      <w:r>
        <w:rPr>
          <w:rFonts w:hint="eastAsia" w:ascii="仿宋_GB2312" w:hAnsi="仿宋_GB2312" w:eastAsia="仿宋_GB2312" w:cs="仿宋_GB2312"/>
          <w:i w:val="0"/>
          <w:strike w:val="0"/>
          <w:color w:val="000000"/>
          <w:spacing w:val="0"/>
          <w:sz w:val="32"/>
          <w:highlight w:val="none"/>
          <w:u w:val="none"/>
          <w:lang w:eastAsia="zh-CN"/>
        </w:rPr>
        <w:t>）服务，实行“网上预约＋现场办理”线上线下相结合的方式，提升办理效率，在周六、法定节假日及“520”“七夕”等群众喜闻乐见的好日子实行延时服务，做到“不办完不打烊”切实提升群众办事便利度与满意度。持续完善婚姻家庭辅导服务体系，创设“幸福婚姻学堂”，实现婚前辅导常态化，引进专职婚姻家庭辅导员，有序开展婚姻家庭辅导服务，开展免费颁证仪式，倡导文明婚俗新风，筑牢家庭和谐防线。积极推进婚俗改革，打造户外颁证点与特色打卡点，创新发展“婚姻+”甜蜜经济，举办全市首个甜蜜经济服务月，全市首创在文旅商圈设置“甜蜜预约点”，成立甜蜜经济协会，推出“宝安甜蜜甄选”品牌，带动消费与文旅融合发展，相关做法获国家级媒体报道与民政部肯定。</w:t>
      </w:r>
    </w:p>
    <w:p w14:paraId="6E23C5B0">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b/>
          <w:i w:val="0"/>
          <w:strike w:val="0"/>
          <w:color w:val="000000"/>
          <w:spacing w:val="0"/>
          <w:sz w:val="32"/>
          <w:highlight w:val="none"/>
          <w:u w:val="none"/>
        </w:rPr>
        <w:t>持续推进殡葬改革。</w:t>
      </w:r>
      <w:r>
        <w:rPr>
          <w:rFonts w:ascii="仿宋_GB2312" w:hAnsi="仿宋_GB2312" w:eastAsia="仿宋_GB2312" w:cs="仿宋_GB2312"/>
          <w:i w:val="0"/>
          <w:strike w:val="0"/>
          <w:color w:val="000000"/>
          <w:spacing w:val="0"/>
          <w:sz w:val="32"/>
          <w:highlight w:val="none"/>
          <w:u w:val="none"/>
        </w:rPr>
        <w:t>“十四五”期间，宝安区积极推进绿色惠民殡葬，提升殡葬公共服务水平，积极倡导文明祭扫，推广树葬、花葬、草坪葬等节地生态葬。</w:t>
      </w:r>
      <w:r>
        <w:rPr>
          <w:rFonts w:hint="eastAsia" w:ascii="仿宋_GB2312" w:hAnsi="仿宋_GB2312" w:eastAsia="仿宋_GB2312" w:cs="仿宋_GB2312"/>
          <w:i w:val="0"/>
          <w:strike w:val="0"/>
          <w:color w:val="000000"/>
          <w:spacing w:val="0"/>
          <w:sz w:val="32"/>
          <w:highlight w:val="none"/>
          <w:u w:val="none"/>
          <w:lang w:val="en-US" w:eastAsia="zh-CN"/>
        </w:rPr>
        <w:t>殡葬服务改革稳步推进，生态葬公益活动辐射影响力持续扩大。建成宝山园第三期墓区，新增墓位约4500个，有效缓解区域墓位供需矛盾，满足群众殡葬需求。</w:t>
      </w:r>
      <w:r>
        <w:rPr>
          <w:rFonts w:ascii="仿宋_GB2312" w:hAnsi="仿宋_GB2312" w:eastAsia="仿宋_GB2312" w:cs="仿宋_GB2312"/>
          <w:i w:val="0"/>
          <w:strike w:val="0"/>
          <w:color w:val="000000"/>
          <w:spacing w:val="0"/>
          <w:sz w:val="32"/>
          <w:highlight w:val="none"/>
          <w:u w:val="none"/>
        </w:rPr>
        <w:t>建成并启用宝山园殡葬业务配套用房，提升群众丧事办理环境。稳妥推进整治殡葬领域腐败乱象专项行动，全面摸清全区殡葬领域底数情况。通过持续强化墓位销售和殡仪服务监督管理，开展违法违规私建“住宅式”墓地等突出问题专项摸排整治工作，殡葬服务水平不断提升。</w:t>
      </w:r>
    </w:p>
    <w:p w14:paraId="0B368874">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32" w:name="_Toc20008"/>
      <w:bookmarkStart w:id="33" w:name="_Toc17706"/>
      <w:r>
        <w:rPr>
          <w:rFonts w:ascii="楷体_GB2312" w:hAnsi="楷体_GB2312" w:eastAsia="楷体_GB2312" w:cs="楷体_GB2312"/>
          <w:i w:val="0"/>
          <w:strike w:val="0"/>
          <w:color w:val="000000"/>
          <w:spacing w:val="0"/>
          <w:sz w:val="32"/>
          <w:highlight w:val="none"/>
          <w:u w:val="none"/>
        </w:rPr>
        <w:t>（六）</w:t>
      </w:r>
      <w:r>
        <w:rPr>
          <w:rFonts w:hint="eastAsia" w:ascii="楷体_GB2312" w:hAnsi="楷体_GB2312" w:eastAsia="楷体_GB2312" w:cs="楷体_GB2312"/>
          <w:i w:val="0"/>
          <w:strike w:val="0"/>
          <w:color w:val="000000"/>
          <w:spacing w:val="0"/>
          <w:sz w:val="32"/>
          <w:highlight w:val="none"/>
          <w:u w:val="none"/>
        </w:rPr>
        <w:t>民政人才队伍固本强基</w:t>
      </w:r>
      <w:bookmarkEnd w:id="32"/>
      <w:bookmarkEnd w:id="33"/>
    </w:p>
    <w:p w14:paraId="7CE674B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bCs/>
          <w:i w:val="0"/>
          <w:strike w:val="0"/>
          <w:color w:val="000000"/>
          <w:spacing w:val="0"/>
          <w:sz w:val="32"/>
          <w:highlight w:val="none"/>
          <w:u w:val="none"/>
        </w:rPr>
        <w:t>高层次人才培育实现历史性突破</w:t>
      </w:r>
      <w:r>
        <w:rPr>
          <w:rFonts w:hint="eastAsia" w:ascii="仿宋_GB2312" w:hAnsi="仿宋_GB2312" w:eastAsia="仿宋_GB2312" w:cs="仿宋_GB2312"/>
          <w:b/>
          <w:bCs/>
          <w:i w:val="0"/>
          <w:strike w:val="0"/>
          <w:color w:val="000000"/>
          <w:spacing w:val="0"/>
          <w:sz w:val="32"/>
          <w:highlight w:val="none"/>
          <w:u w:val="none"/>
          <w:lang w:eastAsia="zh-CN"/>
        </w:rPr>
        <w:t>。</w:t>
      </w:r>
      <w:r>
        <w:rPr>
          <w:rFonts w:hint="default" w:ascii="仿宋_GB2312" w:hAnsi="仿宋_GB2312" w:eastAsia="仿宋_GB2312" w:cs="仿宋_GB2312"/>
          <w:i w:val="0"/>
          <w:strike w:val="0"/>
          <w:color w:val="000000"/>
          <w:spacing w:val="0"/>
          <w:sz w:val="32"/>
          <w:highlight w:val="none"/>
          <w:u w:val="none"/>
        </w:rPr>
        <w:t>坚持党管人才原则，构建专业化民政人才梯队。</w:t>
      </w:r>
      <w:r>
        <w:rPr>
          <w:rFonts w:ascii="仿宋_GB2312" w:hAnsi="仿宋_GB2312" w:eastAsia="仿宋_GB2312" w:cs="仿宋_GB2312"/>
          <w:i w:val="0"/>
          <w:strike w:val="0"/>
          <w:color w:val="000000"/>
          <w:spacing w:val="0"/>
          <w:sz w:val="32"/>
          <w:highlight w:val="none"/>
          <w:u w:val="none"/>
        </w:rPr>
        <w:t>“十四五”期间，</w:t>
      </w:r>
      <w:r>
        <w:rPr>
          <w:rFonts w:hint="default" w:ascii="仿宋_GB2312" w:hAnsi="仿宋_GB2312" w:eastAsia="仿宋_GB2312" w:cs="仿宋_GB2312"/>
          <w:i w:val="0"/>
          <w:strike w:val="0"/>
          <w:color w:val="000000"/>
          <w:spacing w:val="0"/>
          <w:sz w:val="32"/>
          <w:highlight w:val="none"/>
          <w:u w:val="none"/>
        </w:rPr>
        <w:t>全区民政系统涌现出党的二十大代表（全区党员唯一代表）、政协第十四届全国委员会委员1人、全国民政系统劳动模范1人、市级</w:t>
      </w:r>
      <w:r>
        <w:rPr>
          <w:rFonts w:hint="eastAsia" w:ascii="仿宋_GB2312" w:hAnsi="仿宋_GB2312" w:eastAsia="仿宋_GB2312" w:cs="仿宋_GB2312"/>
          <w:i w:val="0"/>
          <w:strike w:val="0"/>
          <w:color w:val="000000"/>
          <w:spacing w:val="0"/>
          <w:sz w:val="32"/>
          <w:highlight w:val="none"/>
          <w:u w:val="none"/>
          <w:lang w:eastAsia="zh-CN"/>
        </w:rPr>
        <w:t>“五一劳动奖章”</w:t>
      </w:r>
      <w:r>
        <w:rPr>
          <w:rFonts w:hint="default" w:ascii="仿宋_GB2312" w:hAnsi="仿宋_GB2312" w:eastAsia="仿宋_GB2312" w:cs="仿宋_GB2312"/>
          <w:i w:val="0"/>
          <w:strike w:val="0"/>
          <w:color w:val="000000"/>
          <w:spacing w:val="0"/>
          <w:sz w:val="32"/>
          <w:highlight w:val="none"/>
          <w:u w:val="none"/>
        </w:rPr>
        <w:t>获得者4人，形成“培育一个、带动一批、影响一片”的星火燎原效应，实现了高层次人才数量与质量的</w:t>
      </w:r>
      <w:r>
        <w:rPr>
          <w:rFonts w:hint="eastAsia" w:cs="仿宋_GB2312"/>
          <w:i w:val="0"/>
          <w:strike w:val="0"/>
          <w:color w:val="000000"/>
          <w:spacing w:val="0"/>
          <w:sz w:val="32"/>
          <w:highlight w:val="none"/>
          <w:u w:val="none"/>
          <w:lang w:val="en-US" w:eastAsia="zh-CN"/>
        </w:rPr>
        <w:t>显著</w:t>
      </w:r>
      <w:r>
        <w:rPr>
          <w:rFonts w:hint="default" w:ascii="仿宋_GB2312" w:hAnsi="仿宋_GB2312" w:eastAsia="仿宋_GB2312" w:cs="仿宋_GB2312"/>
          <w:i w:val="0"/>
          <w:strike w:val="0"/>
          <w:color w:val="000000"/>
          <w:spacing w:val="0"/>
          <w:sz w:val="32"/>
          <w:highlight w:val="none"/>
          <w:u w:val="none"/>
        </w:rPr>
        <w:t>提升，有效激发了“标杆引领群体、群体激活行业”的良性循环。</w:t>
      </w:r>
    </w:p>
    <w:p w14:paraId="0305826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hint="default" w:ascii="仿宋_GB2312" w:hAnsi="仿宋_GB2312" w:eastAsia="仿宋_GB2312" w:cs="仿宋_GB2312"/>
          <w:b/>
          <w:bCs/>
          <w:i w:val="0"/>
          <w:strike w:val="0"/>
          <w:color w:val="000000"/>
          <w:spacing w:val="0"/>
          <w:sz w:val="32"/>
          <w:highlight w:val="none"/>
          <w:u w:val="none"/>
        </w:rPr>
        <w:t>专业化培养与竞赛体系成果丰硕</w:t>
      </w:r>
      <w:r>
        <w:rPr>
          <w:rFonts w:hint="eastAsia" w:ascii="仿宋_GB2312" w:hAnsi="仿宋_GB2312" w:eastAsia="仿宋_GB2312" w:cs="仿宋_GB2312"/>
          <w:b/>
          <w:bCs/>
          <w:i w:val="0"/>
          <w:strike w:val="0"/>
          <w:color w:val="000000"/>
          <w:spacing w:val="0"/>
          <w:sz w:val="32"/>
          <w:highlight w:val="none"/>
          <w:u w:val="none"/>
          <w:lang w:eastAsia="zh-CN"/>
        </w:rPr>
        <w:t>。</w:t>
      </w:r>
      <w:r>
        <w:rPr>
          <w:rFonts w:hint="default" w:ascii="仿宋_GB2312" w:hAnsi="仿宋_GB2312" w:eastAsia="仿宋_GB2312" w:cs="仿宋_GB2312"/>
          <w:i w:val="0"/>
          <w:strike w:val="0"/>
          <w:color w:val="000000"/>
          <w:spacing w:val="0"/>
          <w:sz w:val="32"/>
          <w:highlight w:val="none"/>
          <w:u w:val="none"/>
        </w:rPr>
        <w:t>建立“党建+业务”深度融合机制，创新打造“闪亮民政人·淬炼讲堂”品牌活动。依托政校合作与定向培训，累计开展“家庭护老者”、养老护理员等各类培训超7778人次，年均培训量稳步增长。强化以赛促训，3名养老护理骨干斩获市级职业技能竞赛一等奖，基层儿童工作队伍在市级技能比拼中勇夺团体一等奖及个人新锐卓立奖，形成了“劳模引领、骨干支撑、全员提升”的梯队化培养格局。</w:t>
      </w:r>
    </w:p>
    <w:p w14:paraId="53002EFB">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lang w:val="en-US" w:eastAsia="zh-CN"/>
        </w:rPr>
      </w:pPr>
      <w:r>
        <w:rPr>
          <w:rFonts w:hint="default" w:ascii="仿宋_GB2312" w:hAnsi="仿宋_GB2312" w:eastAsia="仿宋_GB2312" w:cs="仿宋_GB2312"/>
          <w:b/>
          <w:bCs/>
          <w:i w:val="0"/>
          <w:strike w:val="0"/>
          <w:color w:val="000000"/>
          <w:spacing w:val="0"/>
          <w:sz w:val="32"/>
          <w:highlight w:val="none"/>
          <w:u w:val="none"/>
        </w:rPr>
        <w:t>模范标杆选树与机构荣誉取得新成效</w:t>
      </w:r>
      <w:r>
        <w:rPr>
          <w:rFonts w:hint="eastAsia" w:ascii="仿宋_GB2312" w:hAnsi="仿宋_GB2312" w:eastAsia="仿宋_GB2312" w:cs="仿宋_GB2312"/>
          <w:b/>
          <w:bCs/>
          <w:i w:val="0"/>
          <w:strike w:val="0"/>
          <w:color w:val="000000"/>
          <w:spacing w:val="0"/>
          <w:sz w:val="32"/>
          <w:highlight w:val="none"/>
          <w:u w:val="none"/>
          <w:lang w:eastAsia="zh-CN"/>
        </w:rPr>
        <w:t>。</w:t>
      </w:r>
      <w:r>
        <w:rPr>
          <w:rFonts w:hint="default" w:ascii="仿宋_GB2312" w:hAnsi="仿宋_GB2312" w:eastAsia="仿宋_GB2312" w:cs="仿宋_GB2312"/>
          <w:i w:val="0"/>
          <w:strike w:val="0"/>
          <w:color w:val="000000"/>
          <w:spacing w:val="0"/>
          <w:sz w:val="32"/>
          <w:highlight w:val="none"/>
          <w:u w:val="none"/>
        </w:rPr>
        <w:t>区社会福利中心先后获评“全国一星级青年文明号”</w:t>
      </w:r>
      <w:r>
        <w:rPr>
          <w:rFonts w:hint="eastAsia" w:ascii="仿宋_GB2312" w:hAnsi="仿宋_GB2312" w:eastAsia="仿宋_GB2312" w:cs="仿宋_GB2312"/>
          <w:i w:val="0"/>
          <w:strike w:val="0"/>
          <w:color w:val="000000"/>
          <w:spacing w:val="0"/>
          <w:sz w:val="32"/>
          <w:highlight w:val="none"/>
          <w:u w:val="none"/>
          <w:lang w:val="en-US" w:eastAsia="zh-CN"/>
        </w:rPr>
        <w:t xml:space="preserve"> </w:t>
      </w:r>
      <w:r>
        <w:rPr>
          <w:rFonts w:hint="default" w:ascii="仿宋_GB2312" w:hAnsi="仿宋_GB2312" w:eastAsia="仿宋_GB2312" w:cs="仿宋_GB2312"/>
          <w:i w:val="0"/>
          <w:strike w:val="0"/>
          <w:color w:val="000000"/>
          <w:spacing w:val="0"/>
          <w:sz w:val="32"/>
          <w:highlight w:val="none"/>
          <w:u w:val="none"/>
        </w:rPr>
        <w:t>“全国老年人能力评估人才培育优秀单位、竞赛优秀组织单位”</w:t>
      </w:r>
      <w:r>
        <w:rPr>
          <w:rFonts w:hint="eastAsia" w:ascii="仿宋_GB2312" w:hAnsi="仿宋_GB2312" w:eastAsia="仿宋_GB2312" w:cs="仿宋_GB2312"/>
          <w:i w:val="0"/>
          <w:strike w:val="0"/>
          <w:color w:val="000000"/>
          <w:spacing w:val="0"/>
          <w:sz w:val="32"/>
          <w:highlight w:val="none"/>
          <w:u w:val="none"/>
          <w:lang w:eastAsia="zh-CN"/>
        </w:rPr>
        <w:t>，区社会福利中心获深圳市慈善会授牌“慈善之家”共建单位。</w:t>
      </w:r>
      <w:r>
        <w:rPr>
          <w:rFonts w:hint="default" w:ascii="仿宋_GB2312" w:hAnsi="仿宋_GB2312" w:eastAsia="仿宋_GB2312" w:cs="仿宋_GB2312"/>
          <w:i w:val="0"/>
          <w:strike w:val="0"/>
          <w:color w:val="000000"/>
          <w:spacing w:val="0"/>
          <w:sz w:val="32"/>
          <w:highlight w:val="none"/>
          <w:u w:val="none"/>
        </w:rPr>
        <w:t>在敬老爱老助老领域，区社会福利中心、新安街道老</w:t>
      </w:r>
      <w:r>
        <w:rPr>
          <w:rFonts w:hint="eastAsia" w:ascii="仿宋_GB2312" w:hAnsi="仿宋_GB2312" w:eastAsia="仿宋_GB2312" w:cs="仿宋_GB2312"/>
          <w:i w:val="0"/>
          <w:strike w:val="0"/>
          <w:color w:val="000000"/>
          <w:spacing w:val="0"/>
          <w:sz w:val="32"/>
          <w:highlight w:val="none"/>
          <w:u w:val="none"/>
          <w:lang w:eastAsia="zh-CN"/>
        </w:rPr>
        <w:t>年</w:t>
      </w:r>
      <w:r>
        <w:rPr>
          <w:rFonts w:hint="eastAsia" w:ascii="仿宋_GB2312" w:hAnsi="仿宋_GB2312" w:eastAsia="仿宋_GB2312" w:cs="仿宋_GB2312"/>
          <w:i w:val="0"/>
          <w:strike w:val="0"/>
          <w:color w:val="000000"/>
          <w:spacing w:val="0"/>
          <w:sz w:val="32"/>
          <w:highlight w:val="none"/>
          <w:u w:val="none"/>
          <w:lang w:val="en-US" w:eastAsia="zh-CN"/>
        </w:rPr>
        <w:t>人</w:t>
      </w:r>
      <w:r>
        <w:rPr>
          <w:rFonts w:hint="default" w:ascii="仿宋_GB2312" w:hAnsi="仿宋_GB2312" w:eastAsia="仿宋_GB2312" w:cs="仿宋_GB2312"/>
          <w:i w:val="0"/>
          <w:strike w:val="0"/>
          <w:color w:val="000000"/>
          <w:spacing w:val="0"/>
          <w:sz w:val="32"/>
          <w:highlight w:val="none"/>
          <w:u w:val="none"/>
        </w:rPr>
        <w:t>协会荣获全国“敬老文明号”称号，石岩街道老年人协会胡建阳同志获评全国“敬老爱老助老模范人物”，充分展现了宝安民政队伍的良好形象与专业风采。</w:t>
      </w:r>
    </w:p>
    <w:p w14:paraId="7261D47D">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34" w:name="_Toc30458"/>
      <w:bookmarkStart w:id="35" w:name="_Toc24723"/>
      <w:r>
        <w:rPr>
          <w:rFonts w:ascii="黑体" w:hAnsi="黑体" w:eastAsia="黑体" w:cs="黑体"/>
          <w:i w:val="0"/>
          <w:strike w:val="0"/>
          <w:color w:val="000000"/>
          <w:spacing w:val="0"/>
          <w:sz w:val="32"/>
          <w:highlight w:val="none"/>
          <w:u w:val="none"/>
        </w:rPr>
        <w:t>二、发展机遇与挑战</w:t>
      </w:r>
      <w:bookmarkEnd w:id="34"/>
      <w:bookmarkEnd w:id="35"/>
    </w:p>
    <w:p w14:paraId="0BA1AFEF">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lang w:val="en-US" w:eastAsia="zh-CN"/>
        </w:rPr>
        <w:t>“十五五”时期，是深圳建设中国特色社会主义先行示范区、打造全球标杆城市攻坚建设的关键阶段，也是以中国式现代化全面推进强国建设、民族复兴伟业的关键时期。面对国际国内环境的深刻复杂变化，宝安区作为深圳的人口大区、产业大区，超500万实际管理人口构成的多元社会结构，既是民政服务必须直面</w:t>
      </w:r>
      <w:r>
        <w:rPr>
          <w:rFonts w:hint="eastAsia" w:ascii="仿宋_GB2312" w:hAnsi="仿宋_GB2312" w:eastAsia="仿宋_GB2312" w:cs="仿宋_GB2312"/>
          <w:i w:val="0"/>
          <w:strike w:val="0"/>
          <w:color w:val="000000"/>
          <w:spacing w:val="0"/>
          <w:sz w:val="32"/>
          <w:highlight w:val="none"/>
          <w:u w:val="none"/>
          <w:lang w:val="en-US" w:eastAsia="zh-CN"/>
        </w:rPr>
        <w:t>的</w:t>
      </w:r>
      <w:r>
        <w:rPr>
          <w:rFonts w:ascii="仿宋_GB2312" w:hAnsi="仿宋_GB2312" w:eastAsia="仿宋_GB2312" w:cs="仿宋_GB2312"/>
          <w:i w:val="0"/>
          <w:strike w:val="0"/>
          <w:color w:val="000000"/>
          <w:spacing w:val="0"/>
          <w:sz w:val="32"/>
          <w:highlight w:val="none"/>
          <w:u w:val="none"/>
          <w:lang w:val="en-US" w:eastAsia="zh-CN"/>
        </w:rPr>
        <w:t>巨大压力测试场，也为探索超大型城区民生治理新模式提供了丰富场景和需求动力。同时，人口结构加速转型、粤港澳大湾区深度融合、科技革命持续深化等多重因素交织，要求宝安民政事业必须全面践行“双区驱动”战略，着力在先行先试中，构建新时代新征程民政事业发展新格局，以更高标准、更优效能推动民生服务系统性变革。</w:t>
      </w:r>
    </w:p>
    <w:p w14:paraId="3FD46EBC">
      <w:pPr>
        <w:pStyle w:val="7"/>
        <w:keepNext/>
        <w:keepLines/>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36" w:name="_Toc29421"/>
      <w:bookmarkStart w:id="37" w:name="_Toc5297"/>
      <w:r>
        <w:rPr>
          <w:rFonts w:ascii="楷体_GB2312" w:hAnsi="楷体_GB2312" w:eastAsia="楷体_GB2312" w:cs="楷体_GB2312"/>
          <w:i w:val="0"/>
          <w:strike w:val="0"/>
          <w:color w:val="000000"/>
          <w:spacing w:val="0"/>
          <w:sz w:val="32"/>
          <w:highlight w:val="none"/>
          <w:u w:val="none"/>
        </w:rPr>
        <w:t>（一）发展机遇</w:t>
      </w:r>
      <w:bookmarkEnd w:id="36"/>
      <w:bookmarkEnd w:id="37"/>
    </w:p>
    <w:p w14:paraId="25A07BB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bCs/>
          <w:i w:val="0"/>
          <w:strike w:val="0"/>
          <w:color w:val="000000"/>
          <w:spacing w:val="0"/>
          <w:sz w:val="32"/>
          <w:highlight w:val="none"/>
          <w:u w:val="none"/>
          <w:lang w:val="en-US" w:eastAsia="zh-CN"/>
        </w:rPr>
        <w:t>战略赋能与改革试点机遇空前。</w:t>
      </w:r>
      <w:r>
        <w:rPr>
          <w:rFonts w:ascii="仿宋_GB2312" w:hAnsi="仿宋_GB2312" w:eastAsia="仿宋_GB2312" w:cs="仿宋_GB2312"/>
          <w:i w:val="0"/>
          <w:strike w:val="0"/>
          <w:color w:val="000000"/>
          <w:spacing w:val="0"/>
          <w:sz w:val="32"/>
          <w:highlight w:val="none"/>
          <w:u w:val="none"/>
          <w:lang w:val="en-US" w:eastAsia="zh-CN"/>
        </w:rPr>
        <w:t>党和国家近年来密集出台《关于深化养老服务改革发展的意见》《关于进一步保障和改善民生着力解决群众急难愁盼的意见》《关于发展银发经济增进老年人福祉的意见》《关于进一步加强困境儿童福利保障工作的意见》等一系列民生领域重磅政策，为民政工作提供了根本遵循与战略指引。宝安</w:t>
      </w:r>
      <w:r>
        <w:rPr>
          <w:rFonts w:hint="eastAsia" w:ascii="仿宋_GB2312" w:hAnsi="仿宋_GB2312" w:eastAsia="仿宋_GB2312" w:cs="仿宋_GB2312"/>
          <w:i w:val="0"/>
          <w:strike w:val="0"/>
          <w:color w:val="000000"/>
          <w:spacing w:val="0"/>
          <w:sz w:val="32"/>
          <w:highlight w:val="none"/>
          <w:u w:val="none"/>
          <w:lang w:val="en-US" w:eastAsia="zh-CN"/>
        </w:rPr>
        <w:t>区</w:t>
      </w:r>
      <w:r>
        <w:rPr>
          <w:rFonts w:ascii="仿宋_GB2312" w:hAnsi="仿宋_GB2312" w:eastAsia="仿宋_GB2312" w:cs="仿宋_GB2312"/>
          <w:i w:val="0"/>
          <w:strike w:val="0"/>
          <w:color w:val="000000"/>
          <w:spacing w:val="0"/>
          <w:sz w:val="32"/>
          <w:highlight w:val="none"/>
          <w:u w:val="none"/>
          <w:lang w:val="en-US" w:eastAsia="zh-CN"/>
        </w:rPr>
        <w:t>作为改革开放前沿，肩负“先行先试”使命。前海深港现代服务业合作区扩区赋能、深中通道开通等重大利好，更赋予宝安在构建与超大人口规模、高经济水平相适应的高质量民生保障路径上率先破题、打造样板的独特条件，为社会救助、社会福利、社会治理等各项民政工作质量、标准和效率的全面跃升开辟了广阔空间。</w:t>
      </w:r>
    </w:p>
    <w:p w14:paraId="37443CD9">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bCs/>
          <w:i w:val="0"/>
          <w:strike w:val="0"/>
          <w:color w:val="000000"/>
          <w:spacing w:val="0"/>
          <w:sz w:val="32"/>
          <w:highlight w:val="none"/>
          <w:u w:val="none"/>
          <w:lang w:val="en-US" w:eastAsia="zh-CN"/>
        </w:rPr>
        <w:t>科技产业基础赋能民生创新。</w:t>
      </w:r>
      <w:r>
        <w:rPr>
          <w:rFonts w:ascii="仿宋_GB2312" w:hAnsi="仿宋_GB2312" w:eastAsia="仿宋_GB2312" w:cs="仿宋_GB2312"/>
          <w:i w:val="0"/>
          <w:strike w:val="0"/>
          <w:color w:val="000000"/>
          <w:spacing w:val="0"/>
          <w:sz w:val="32"/>
          <w:highlight w:val="none"/>
          <w:u w:val="none"/>
          <w:lang w:val="en-US" w:eastAsia="zh-CN"/>
        </w:rPr>
        <w:t>人工智能、大数据、物联网等新技术蓬勃发展</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宝安区坚实的智能制造与数字经济产业基础，为“AI+民政”、智慧养老、机器人照护等民生科技应用的研发、落地和迭代提供了强大的本地化产业支撑。新技术在民政领域的深度应用，不仅能驱动服务模式创新与效能提升，更将倒逼跨部门数据共享与制度适配</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推动民生服务从“单点智能”迈向“系统集成”。</w:t>
      </w:r>
    </w:p>
    <w:p w14:paraId="08CB5E53">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bCs/>
          <w:i w:val="0"/>
          <w:strike w:val="0"/>
          <w:color w:val="000000"/>
          <w:spacing w:val="0"/>
          <w:sz w:val="32"/>
          <w:highlight w:val="none"/>
          <w:u w:val="none"/>
          <w:lang w:val="en-US" w:eastAsia="zh-CN"/>
        </w:rPr>
        <w:t>湾区融合拓展协同发展空间。</w:t>
      </w:r>
      <w:r>
        <w:rPr>
          <w:rFonts w:ascii="仿宋_GB2312" w:hAnsi="仿宋_GB2312" w:eastAsia="仿宋_GB2312" w:cs="仿宋_GB2312"/>
          <w:i w:val="0"/>
          <w:strike w:val="0"/>
          <w:color w:val="000000"/>
          <w:spacing w:val="0"/>
          <w:sz w:val="32"/>
          <w:highlight w:val="none"/>
          <w:u w:val="none"/>
          <w:lang w:val="en-US" w:eastAsia="zh-CN"/>
        </w:rPr>
        <w:t>粤港澳大湾区建设向纵深推进，为民生领域规则衔接、资源互通打开了新局面。宝安地处大湾区核心，凭借区位与产业优势，可在“跨境养老”、深港社会服务标准互认、慈善资源跨境流动等方面率先探索，为构建“湾区民生共同体”提供宝安经验，从而激发民政事业在更广阔区域内的内生动力与发展活力。</w:t>
      </w:r>
    </w:p>
    <w:p w14:paraId="200CB29A">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38" w:name="_Toc28224"/>
      <w:bookmarkStart w:id="39" w:name="_Toc21577"/>
      <w:r>
        <w:rPr>
          <w:rFonts w:ascii="楷体_GB2312" w:hAnsi="楷体_GB2312" w:eastAsia="楷体_GB2312" w:cs="楷体_GB2312"/>
          <w:i w:val="0"/>
          <w:strike w:val="0"/>
          <w:color w:val="000000"/>
          <w:spacing w:val="0"/>
          <w:sz w:val="32"/>
          <w:highlight w:val="none"/>
          <w:u w:val="none"/>
        </w:rPr>
        <w:t>（二）主要挑战</w:t>
      </w:r>
      <w:bookmarkEnd w:id="38"/>
      <w:bookmarkEnd w:id="39"/>
    </w:p>
    <w:p w14:paraId="274F736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eastAsia" w:ascii="仿宋_GB2312" w:hAnsi="仿宋_GB2312" w:eastAsia="仿宋_GB2312" w:cs="仿宋_GB2312"/>
          <w:b/>
          <w:i w:val="0"/>
          <w:strike w:val="0"/>
          <w:color w:val="000000"/>
          <w:spacing w:val="0"/>
          <w:sz w:val="32"/>
          <w:highlight w:val="none"/>
          <w:u w:val="none"/>
        </w:rPr>
        <w:t>超大城市人口治理与服务精准适配挑战严峻</w:t>
      </w:r>
      <w:r>
        <w:rPr>
          <w:rFonts w:ascii="仿宋_GB2312" w:hAnsi="仿宋_GB2312" w:eastAsia="仿宋_GB2312" w:cs="仿宋_GB2312"/>
          <w:b/>
          <w:i w:val="0"/>
          <w:strike w:val="0"/>
          <w:color w:val="000000"/>
          <w:spacing w:val="0"/>
          <w:sz w:val="32"/>
          <w:highlight w:val="none"/>
          <w:u w:val="none"/>
        </w:rPr>
        <w:t>。</w:t>
      </w:r>
      <w:r>
        <w:rPr>
          <w:rFonts w:ascii="仿宋_GB2312" w:hAnsi="仿宋_GB2312" w:eastAsia="仿宋_GB2312" w:cs="仿宋_GB2312"/>
          <w:i w:val="0"/>
          <w:strike w:val="0"/>
          <w:color w:val="000000"/>
          <w:spacing w:val="0"/>
          <w:sz w:val="32"/>
          <w:highlight w:val="none"/>
          <w:u w:val="none"/>
        </w:rPr>
        <w:t>宝安区实际管理人口超500万，且预计“十五五”时期总人口仍将保持增长趋势。人口总量大、结构多元、流动性强，民生服务需求呈现高标准、多样化、动态变化等特征。在推进全体人民共同富裕的现代化进程中，人民群众对美好生活的向往更加强烈，对社会公平正义和公共服务的期望不断增强。当前，民政服务对象持续扩面，服务供给在覆盖广度、响应速度与适配精度等方面仍存在提升空间。如何进一步增强民生政策与经济发展之间的协同性，实现供需动态平衡，推动“人—城—产”良性互动，成为宝安民政必须应对的重要课题。</w:t>
      </w:r>
    </w:p>
    <w:p w14:paraId="089A025E">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eastAsia" w:ascii="仿宋_GB2312" w:hAnsi="仿宋_GB2312" w:eastAsia="仿宋_GB2312" w:cs="仿宋_GB2312"/>
          <w:b/>
          <w:i w:val="0"/>
          <w:strike w:val="0"/>
          <w:color w:val="000000"/>
          <w:spacing w:val="0"/>
          <w:sz w:val="32"/>
          <w:highlight w:val="none"/>
          <w:u w:val="none"/>
        </w:rPr>
        <w:t>加速老龄化与少子化带来系统性压力。</w:t>
      </w:r>
      <w:r>
        <w:rPr>
          <w:rFonts w:ascii="仿宋_GB2312" w:hAnsi="仿宋_GB2312" w:eastAsia="仿宋_GB2312" w:cs="仿宋_GB2312"/>
          <w:i w:val="0"/>
          <w:strike w:val="0"/>
          <w:color w:val="000000"/>
          <w:spacing w:val="0"/>
          <w:sz w:val="32"/>
          <w:highlight w:val="none"/>
          <w:u w:val="none"/>
        </w:rPr>
        <w:t>“十五五”时期，宝安区人口增速预计放缓，同时老龄化、少子化趋势交织演进，对民政领域各项工作提出系统性挑战。</w:t>
      </w:r>
      <w:r>
        <w:rPr>
          <w:rFonts w:hint="eastAsia" w:ascii="仿宋_GB2312" w:hAnsi="仿宋_GB2312" w:eastAsia="仿宋_GB2312" w:cs="仿宋_GB2312"/>
          <w:i w:val="0"/>
          <w:strike w:val="0"/>
          <w:color w:val="000000"/>
          <w:spacing w:val="0"/>
          <w:sz w:val="32"/>
          <w:highlight w:val="none"/>
          <w:u w:val="none"/>
          <w:lang w:val="en-US" w:eastAsia="zh-CN"/>
        </w:rPr>
        <w:t>截至202</w:t>
      </w:r>
      <w:r>
        <w:rPr>
          <w:rFonts w:hint="default" w:ascii="仿宋_GB2312" w:hAnsi="仿宋_GB2312" w:eastAsia="仿宋_GB2312" w:cs="仿宋_GB2312"/>
          <w:i w:val="0"/>
          <w:strike w:val="0"/>
          <w:color w:val="000000"/>
          <w:spacing w:val="0"/>
          <w:sz w:val="32"/>
          <w:highlight w:val="none"/>
          <w:u w:val="none"/>
          <w:lang w:eastAsia="zh-CN"/>
        </w:rPr>
        <w:t>6</w:t>
      </w:r>
      <w:r>
        <w:rPr>
          <w:rFonts w:hint="eastAsia" w:ascii="仿宋_GB2312" w:hAnsi="仿宋_GB2312" w:eastAsia="仿宋_GB2312" w:cs="仿宋_GB2312"/>
          <w:i w:val="0"/>
          <w:strike w:val="0"/>
          <w:color w:val="000000"/>
          <w:spacing w:val="0"/>
          <w:sz w:val="32"/>
          <w:highlight w:val="none"/>
          <w:u w:val="none"/>
          <w:lang w:val="en-US" w:eastAsia="zh-CN"/>
        </w:rPr>
        <w:t>年1月，宝安区常住居民439.91万人，60岁以上常住老年人口30.34万人，其中户籍老人</w:t>
      </w:r>
      <w:r>
        <w:rPr>
          <w:rFonts w:hint="default" w:ascii="仿宋_GB2312" w:hAnsi="仿宋_GB2312" w:eastAsia="仿宋_GB2312" w:cs="仿宋_GB2312"/>
          <w:i w:val="0"/>
          <w:strike w:val="0"/>
          <w:color w:val="000000"/>
          <w:spacing w:val="0"/>
          <w:sz w:val="32"/>
          <w:highlight w:val="none"/>
          <w:u w:val="none"/>
          <w:lang w:eastAsia="zh-CN"/>
        </w:rPr>
        <w:t>6.69</w:t>
      </w:r>
      <w:r>
        <w:rPr>
          <w:rFonts w:hint="eastAsia" w:ascii="仿宋_GB2312" w:hAnsi="仿宋_GB2312" w:eastAsia="仿宋_GB2312" w:cs="仿宋_GB2312"/>
          <w:i w:val="0"/>
          <w:strike w:val="0"/>
          <w:color w:val="000000"/>
          <w:spacing w:val="0"/>
          <w:sz w:val="32"/>
          <w:highlight w:val="none"/>
          <w:u w:val="none"/>
          <w:lang w:val="en-US" w:eastAsia="zh-CN"/>
        </w:rPr>
        <w:t>万人,老龄化率为</w:t>
      </w:r>
      <w:r>
        <w:rPr>
          <w:rFonts w:hint="default" w:ascii="仿宋_GB2312" w:hAnsi="仿宋_GB2312" w:eastAsia="仿宋_GB2312" w:cs="仿宋_GB2312"/>
          <w:i w:val="0"/>
          <w:strike w:val="0"/>
          <w:color w:val="000000"/>
          <w:spacing w:val="0"/>
          <w:sz w:val="32"/>
          <w:highlight w:val="none"/>
          <w:u w:val="none"/>
          <w:lang w:eastAsia="zh-CN"/>
        </w:rPr>
        <w:t>6.9</w:t>
      </w:r>
      <w:r>
        <w:rPr>
          <w:rFonts w:hint="eastAsia" w:ascii="仿宋_GB2312" w:hAnsi="仿宋_GB2312" w:eastAsia="仿宋_GB2312" w:cs="仿宋_GB2312"/>
          <w:i w:val="0"/>
          <w:strike w:val="0"/>
          <w:color w:val="000000"/>
          <w:spacing w:val="0"/>
          <w:sz w:val="32"/>
          <w:highlight w:val="none"/>
          <w:u w:val="none"/>
          <w:lang w:val="en-US" w:eastAsia="zh-CN"/>
        </w:rPr>
        <w:t>%。随着城市化和特区一体化的快速发展，第一代来深建设者逐步迈入老年，新移民家庭逐步稳定带来随迁老人日趋增多</w:t>
      </w:r>
      <w:bookmarkStart w:id="136" w:name="_GoBack"/>
      <w:r>
        <w:rPr>
          <w:rFonts w:hint="eastAsia" w:ascii="仿宋_GB2312" w:hAnsi="仿宋_GB2312" w:eastAsia="仿宋_GB2312" w:cs="仿宋_GB2312"/>
          <w:i w:val="0"/>
          <w:strike w:val="0"/>
          <w:color w:val="000000"/>
          <w:spacing w:val="0"/>
          <w:sz w:val="32"/>
          <w:highlight w:val="none"/>
          <w:u w:val="none"/>
          <w:lang w:val="en-US" w:eastAsia="zh-CN"/>
        </w:rPr>
        <w:t>，预计到“十六五</w:t>
      </w:r>
      <w:r>
        <w:rPr>
          <w:rFonts w:hint="eastAsia" w:ascii="仿宋_GB2312" w:hAnsi="仿宋_GB2312" w:eastAsia="仿宋_GB2312" w:cs="仿宋_GB2312"/>
          <w:i w:val="0"/>
          <w:strike w:val="0"/>
          <w:color w:val="000000"/>
          <w:spacing w:val="0"/>
          <w:sz w:val="32"/>
          <w:highlight w:val="none"/>
          <w:u w:val="none"/>
          <w:lang w:val="en-US" w:eastAsia="zh-CN"/>
        </w:rPr>
        <w:t>”末期，宝</w:t>
      </w:r>
      <w:bookmarkEnd w:id="136"/>
      <w:r>
        <w:rPr>
          <w:rFonts w:hint="eastAsia" w:ascii="仿宋_GB2312" w:hAnsi="仿宋_GB2312" w:eastAsia="仿宋_GB2312" w:cs="仿宋_GB2312"/>
          <w:i w:val="0"/>
          <w:strike w:val="0"/>
          <w:color w:val="000000"/>
          <w:spacing w:val="0"/>
          <w:sz w:val="32"/>
          <w:highlight w:val="none"/>
          <w:u w:val="none"/>
          <w:lang w:val="en-US" w:eastAsia="zh-CN"/>
        </w:rPr>
        <w:t>安区60岁以上常住人口约42万至45万人，占全区常住人口之比约8.5%，接近进入老龄化社会</w:t>
      </w:r>
      <w:r>
        <w:rPr>
          <w:rStyle w:val="24"/>
          <w:rFonts w:hint="eastAsia" w:ascii="仿宋_GB2312" w:hAnsi="仿宋_GB2312" w:eastAsia="仿宋_GB2312" w:cs="仿宋_GB2312"/>
          <w:i w:val="0"/>
          <w:strike w:val="0"/>
          <w:color w:val="000000"/>
          <w:spacing w:val="0"/>
          <w:sz w:val="32"/>
          <w:highlight w:val="none"/>
          <w:u w:val="none"/>
          <w:lang w:val="en-US" w:eastAsia="zh-CN"/>
        </w:rPr>
        <w:footnoteReference w:id="0"/>
      </w:r>
      <w:r>
        <w:rPr>
          <w:rFonts w:hint="eastAsia" w:ascii="仿宋_GB2312" w:hAnsi="仿宋_GB2312" w:eastAsia="仿宋_GB2312" w:cs="仿宋_GB2312"/>
          <w:i w:val="0"/>
          <w:strike w:val="0"/>
          <w:color w:val="000000"/>
          <w:spacing w:val="0"/>
          <w:sz w:val="32"/>
          <w:highlight w:val="none"/>
          <w:u w:val="none"/>
          <w:lang w:eastAsia="zh-CN"/>
        </w:rPr>
        <w:t>。</w:t>
      </w:r>
      <w:r>
        <w:rPr>
          <w:rFonts w:hint="eastAsia" w:ascii="仿宋_GB2312" w:hAnsi="仿宋_GB2312" w:eastAsia="仿宋_GB2312" w:cs="仿宋_GB2312"/>
          <w:i w:val="0"/>
          <w:strike w:val="0"/>
          <w:color w:val="000000"/>
          <w:spacing w:val="0"/>
          <w:sz w:val="32"/>
          <w:highlight w:val="none"/>
          <w:u w:val="none"/>
          <w:lang w:val="en-US" w:eastAsia="zh-CN"/>
        </w:rPr>
        <w:t>与此同时，</w:t>
      </w:r>
      <w:r>
        <w:rPr>
          <w:rFonts w:ascii="仿宋_GB2312" w:hAnsi="仿宋_GB2312" w:eastAsia="仿宋_GB2312" w:cs="仿宋_GB2312"/>
          <w:i w:val="0"/>
          <w:strike w:val="0"/>
          <w:color w:val="000000"/>
          <w:spacing w:val="0"/>
          <w:sz w:val="32"/>
          <w:highlight w:val="none"/>
          <w:u w:val="none"/>
        </w:rPr>
        <w:t>年轻群体生育率持续走低，人口结构呈现“顶部老化、底部收缩”特征。老龄化与少子化双重压力不仅加剧养老服务供给紧张，也对殡葬服务、社会福利、社区治理等多方面带来持续挑战。当前民政服务体系建设与人民群众需求仍存在差距，</w:t>
      </w:r>
      <w:r>
        <w:rPr>
          <w:rFonts w:hint="default" w:ascii="仿宋_GB2312" w:hAnsi="仿宋_GB2312" w:eastAsia="仿宋_GB2312" w:cs="仿宋_GB2312"/>
          <w:i w:val="0"/>
          <w:strike w:val="0"/>
          <w:color w:val="000000"/>
          <w:spacing w:val="0"/>
          <w:sz w:val="32"/>
          <w:highlight w:val="none"/>
          <w:u w:val="none"/>
        </w:rPr>
        <w:t>加快构建全覆盖、多层次的养老服务体系迫在眉睫。</w:t>
      </w:r>
    </w:p>
    <w:p w14:paraId="0CF23E84">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b/>
          <w:i w:val="0"/>
          <w:strike w:val="0"/>
          <w:color w:val="000000"/>
          <w:spacing w:val="0"/>
          <w:sz w:val="32"/>
          <w:highlight w:val="none"/>
          <w:u w:val="none"/>
        </w:rPr>
        <w:t>经济结构转型加剧基本民生保障压力</w:t>
      </w:r>
      <w:r>
        <w:rPr>
          <w:rFonts w:hint="eastAsia" w:eastAsia="仿宋_GB2312"/>
          <w:color w:val="000000"/>
          <w:highlight w:val="none"/>
          <w:lang w:eastAsia="zh-CN"/>
        </w:rPr>
        <w:t>。</w:t>
      </w:r>
      <w:r>
        <w:rPr>
          <w:rFonts w:ascii="仿宋_GB2312" w:hAnsi="仿宋_GB2312" w:eastAsia="仿宋_GB2312" w:cs="仿宋_GB2312"/>
          <w:i w:val="0"/>
          <w:strike w:val="0"/>
          <w:color w:val="000000"/>
          <w:spacing w:val="0"/>
          <w:sz w:val="32"/>
          <w:highlight w:val="none"/>
          <w:u w:val="none"/>
        </w:rPr>
        <w:t>“十五五”时期，人工智能技术加速应用，预计将对众多传统产业造成冲击，结构性失业风险增加，</w:t>
      </w:r>
      <w:r>
        <w:rPr>
          <w:rFonts w:hint="eastAsia" w:ascii="仿宋_GB2312" w:hAnsi="仿宋_GB2312" w:eastAsia="仿宋_GB2312" w:cs="仿宋_GB2312"/>
          <w:sz w:val="32"/>
          <w:szCs w:val="32"/>
        </w:rPr>
        <w:t>就业和居民收入增长压力较大，民生保障存在短板弱项</w:t>
      </w:r>
      <w:r>
        <w:rPr>
          <w:rFonts w:hint="eastAsia" w:ascii="仿宋_GB2312" w:hAnsi="仿宋_GB2312" w:eastAsia="仿宋_GB2312" w:cs="仿宋_GB2312"/>
          <w:sz w:val="32"/>
          <w:szCs w:val="32"/>
          <w:lang w:eastAsia="zh-CN"/>
        </w:rPr>
        <w:t>，</w:t>
      </w:r>
      <w:r>
        <w:rPr>
          <w:rFonts w:ascii="仿宋_GB2312" w:hAnsi="仿宋_GB2312" w:eastAsia="仿宋_GB2312" w:cs="仿宋_GB2312"/>
          <w:i w:val="0"/>
          <w:strike w:val="0"/>
          <w:color w:val="000000"/>
          <w:spacing w:val="0"/>
          <w:sz w:val="32"/>
          <w:highlight w:val="none"/>
          <w:u w:val="none"/>
        </w:rPr>
        <w:t>任务更加艰巨。如何有效应对产业升级带来的就业结构变化、强化对困难群体的兜底保障，已成为社会救助体系面临的重大挑战。与此同时，国际国内环境深刻复杂变化导致经济社会发展不稳定不确定因素增多，民政民生领域供给紧张与需求增加的张力加剧，影响社会稳定风险上升，对筑牢民生底板、拓展服务范围、强化安全监管、构建民政大安全机制提出</w:t>
      </w:r>
      <w:r>
        <w:rPr>
          <w:rFonts w:hint="eastAsia" w:ascii="仿宋_GB2312" w:hAnsi="仿宋_GB2312" w:eastAsia="仿宋_GB2312" w:cs="仿宋_GB2312"/>
          <w:i w:val="0"/>
          <w:strike w:val="0"/>
          <w:color w:val="000000"/>
          <w:spacing w:val="0"/>
          <w:sz w:val="32"/>
          <w:highlight w:val="none"/>
          <w:u w:val="none"/>
          <w:lang w:eastAsia="zh-CN"/>
        </w:rPr>
        <w:t>了</w:t>
      </w:r>
      <w:r>
        <w:rPr>
          <w:rFonts w:ascii="仿宋_GB2312" w:hAnsi="仿宋_GB2312" w:eastAsia="仿宋_GB2312" w:cs="仿宋_GB2312"/>
          <w:i w:val="0"/>
          <w:strike w:val="0"/>
          <w:color w:val="000000"/>
          <w:spacing w:val="0"/>
          <w:sz w:val="32"/>
          <w:highlight w:val="none"/>
          <w:u w:val="none"/>
        </w:rPr>
        <w:t>新挑战，</w:t>
      </w:r>
      <w:r>
        <w:rPr>
          <w:rFonts w:hint="eastAsia" w:ascii="仿宋_GB2312" w:hAnsi="仿宋_GB2312" w:eastAsia="仿宋_GB2312" w:cs="仿宋_GB2312"/>
          <w:i w:val="0"/>
          <w:strike w:val="0"/>
          <w:color w:val="000000"/>
          <w:spacing w:val="0"/>
          <w:sz w:val="32"/>
          <w:highlight w:val="none"/>
          <w:u w:val="none"/>
          <w:lang w:eastAsia="zh-CN"/>
        </w:rPr>
        <w:t>亟须</w:t>
      </w:r>
      <w:r>
        <w:rPr>
          <w:rFonts w:ascii="仿宋_GB2312" w:hAnsi="仿宋_GB2312" w:eastAsia="仿宋_GB2312" w:cs="仿宋_GB2312"/>
          <w:i w:val="0"/>
          <w:strike w:val="0"/>
          <w:color w:val="000000"/>
          <w:spacing w:val="0"/>
          <w:sz w:val="32"/>
          <w:highlight w:val="none"/>
          <w:u w:val="none"/>
        </w:rPr>
        <w:t>全面优化政策制度体系，统筹发展和安全。</w:t>
      </w:r>
    </w:p>
    <w:p w14:paraId="34FB8E5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lang w:eastAsia="zh-CN"/>
        </w:rPr>
      </w:pPr>
      <w:r>
        <w:rPr>
          <w:rFonts w:hint="eastAsia" w:ascii="仿宋_GB2312" w:hAnsi="仿宋_GB2312" w:eastAsia="仿宋_GB2312" w:cs="仿宋_GB2312"/>
          <w:i w:val="0"/>
          <w:strike w:val="0"/>
          <w:color w:val="000000"/>
          <w:spacing w:val="0"/>
          <w:sz w:val="32"/>
          <w:highlight w:val="none"/>
          <w:u w:val="none"/>
        </w:rPr>
        <w:t>变局蕴含机遇，挑战激发斗志。</w:t>
      </w:r>
      <w:r>
        <w:rPr>
          <w:rFonts w:ascii="仿宋_GB2312" w:hAnsi="仿宋_GB2312" w:eastAsia="仿宋_GB2312" w:cs="仿宋_GB2312"/>
          <w:i w:val="0"/>
          <w:strike w:val="0"/>
          <w:color w:val="000000"/>
          <w:spacing w:val="0"/>
          <w:sz w:val="32"/>
          <w:highlight w:val="none"/>
          <w:u w:val="none"/>
        </w:rPr>
        <w:t>宝安民政系统需以“党建引领+数字科技赋能”双轮驱动，统筹把握</w:t>
      </w:r>
      <w:r>
        <w:rPr>
          <w:rFonts w:hint="eastAsia" w:ascii="仿宋_GB2312" w:hAnsi="仿宋_GB2312" w:eastAsia="仿宋_GB2312" w:cs="仿宋_GB2312"/>
          <w:i w:val="0"/>
          <w:strike w:val="0"/>
          <w:color w:val="000000"/>
          <w:spacing w:val="0"/>
          <w:sz w:val="32"/>
          <w:highlight w:val="none"/>
          <w:u w:val="none"/>
        </w:rPr>
        <w:t>区域发展</w:t>
      </w:r>
      <w:r>
        <w:rPr>
          <w:rFonts w:ascii="仿宋_GB2312" w:hAnsi="仿宋_GB2312" w:eastAsia="仿宋_GB2312" w:cs="仿宋_GB2312"/>
          <w:i w:val="0"/>
          <w:strike w:val="0"/>
          <w:color w:val="000000"/>
          <w:spacing w:val="0"/>
          <w:sz w:val="32"/>
          <w:highlight w:val="none"/>
          <w:u w:val="none"/>
        </w:rPr>
        <w:t>重要战略机遇期、民生</w:t>
      </w:r>
      <w:r>
        <w:rPr>
          <w:rFonts w:hint="eastAsia" w:ascii="仿宋_GB2312" w:hAnsi="仿宋_GB2312" w:eastAsia="仿宋_GB2312" w:cs="仿宋_GB2312"/>
          <w:i w:val="0"/>
          <w:strike w:val="0"/>
          <w:color w:val="000000"/>
          <w:spacing w:val="0"/>
          <w:sz w:val="32"/>
          <w:highlight w:val="none"/>
          <w:u w:val="none"/>
        </w:rPr>
        <w:t>需求升级窗口期</w:t>
      </w:r>
      <w:r>
        <w:rPr>
          <w:rFonts w:ascii="仿宋_GB2312" w:hAnsi="仿宋_GB2312" w:eastAsia="仿宋_GB2312" w:cs="仿宋_GB2312"/>
          <w:i w:val="0"/>
          <w:strike w:val="0"/>
          <w:color w:val="000000"/>
          <w:spacing w:val="0"/>
          <w:sz w:val="32"/>
          <w:highlight w:val="none"/>
          <w:u w:val="none"/>
        </w:rPr>
        <w:t>、深圳先行示范区建设改革创新攻坚期、新质生产力培育期“四期叠加”的新形势，以人口需求为导向，以深化改革为突破，着力构建现代化民政服务体系，推动民生服务从“分散供给”转向“系统集成”，在超大型城区治理现代化中</w:t>
      </w:r>
      <w:r>
        <w:rPr>
          <w:rFonts w:hint="eastAsia" w:ascii="仿宋_GB2312" w:hAnsi="仿宋_GB2312" w:eastAsia="仿宋_GB2312" w:cs="仿宋_GB2312"/>
          <w:i w:val="0"/>
          <w:strike w:val="0"/>
          <w:color w:val="000000"/>
          <w:spacing w:val="0"/>
          <w:sz w:val="32"/>
          <w:highlight w:val="none"/>
          <w:u w:val="none"/>
        </w:rPr>
        <w:t>奋力</w:t>
      </w:r>
      <w:r>
        <w:rPr>
          <w:rFonts w:ascii="仿宋_GB2312" w:hAnsi="仿宋_GB2312" w:eastAsia="仿宋_GB2312" w:cs="仿宋_GB2312"/>
          <w:i w:val="0"/>
          <w:strike w:val="0"/>
          <w:color w:val="000000"/>
          <w:spacing w:val="0"/>
          <w:sz w:val="32"/>
          <w:highlight w:val="none"/>
          <w:u w:val="none"/>
        </w:rPr>
        <w:t>打造民生幸福的“湾区标杆”。</w:t>
      </w:r>
      <w:bookmarkStart w:id="40" w:name="_Toc30161"/>
      <w:bookmarkStart w:id="41" w:name="_Toc1009"/>
      <w:bookmarkStart w:id="42" w:name="_Toc14493"/>
      <w:bookmarkStart w:id="43" w:name="_Toc1248"/>
    </w:p>
    <w:p w14:paraId="4BAA33F4">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b w:val="0"/>
          <w:bCs w:val="0"/>
          <w:color w:val="000000"/>
          <w:sz w:val="32"/>
          <w:szCs w:val="40"/>
          <w:highlight w:val="none"/>
        </w:rPr>
      </w:pPr>
      <w:bookmarkStart w:id="44" w:name="_Toc30608"/>
      <w:bookmarkStart w:id="45" w:name="_Toc14682"/>
      <w:r>
        <w:rPr>
          <w:rFonts w:ascii="黑体" w:hAnsi="黑体" w:eastAsia="黑体" w:cs="黑体"/>
          <w:b w:val="0"/>
          <w:bCs w:val="0"/>
          <w:i w:val="0"/>
          <w:strike w:val="0"/>
          <w:color w:val="000000"/>
          <w:spacing w:val="0"/>
          <w:sz w:val="32"/>
          <w:szCs w:val="40"/>
          <w:highlight w:val="none"/>
          <w:u w:val="none"/>
        </w:rPr>
        <w:t>第二章 总体要求</w:t>
      </w:r>
      <w:bookmarkEnd w:id="44"/>
    </w:p>
    <w:p w14:paraId="09718D5B">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b w:val="0"/>
          <w:bCs w:val="0"/>
          <w:color w:val="000000"/>
          <w:highlight w:val="none"/>
        </w:rPr>
      </w:pPr>
      <w:bookmarkStart w:id="46" w:name="_Toc29298"/>
      <w:r>
        <w:rPr>
          <w:rFonts w:ascii="黑体" w:hAnsi="黑体" w:eastAsia="黑体" w:cs="黑体"/>
          <w:b w:val="0"/>
          <w:bCs w:val="0"/>
          <w:i w:val="0"/>
          <w:strike w:val="0"/>
          <w:color w:val="000000"/>
          <w:spacing w:val="0"/>
          <w:sz w:val="32"/>
          <w:highlight w:val="none"/>
          <w:u w:val="none"/>
        </w:rPr>
        <w:t>一、指导思想</w:t>
      </w:r>
      <w:bookmarkEnd w:id="45"/>
      <w:bookmarkEnd w:id="46"/>
    </w:p>
    <w:p w14:paraId="596CA962">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坚持以习近平新时代中国特色社会主义思想为指导，</w:t>
      </w:r>
      <w:r>
        <w:rPr>
          <w:rFonts w:ascii="仿宋_GB2312" w:hAnsi="仿宋_GB2312" w:eastAsia="仿宋_GB2312" w:cs="仿宋_GB2312"/>
          <w:i w:val="0"/>
          <w:strike w:val="0"/>
          <w:color w:val="000000"/>
          <w:sz w:val="32"/>
          <w:highlight w:val="none"/>
          <w:u w:val="none"/>
        </w:rPr>
        <w:t>全面贯彻落实</w:t>
      </w:r>
      <w:r>
        <w:rPr>
          <w:rFonts w:hint="eastAsia" w:ascii="仿宋_GB2312" w:hAnsi="仿宋_GB2312" w:eastAsia="仿宋_GB2312" w:cs="仿宋_GB2312"/>
          <w:sz w:val="32"/>
          <w:szCs w:val="32"/>
        </w:rPr>
        <w:t>党的二十大和二十届历次全会精神，</w:t>
      </w:r>
      <w:r>
        <w:rPr>
          <w:rFonts w:ascii="仿宋_GB2312" w:hAnsi="仿宋_GB2312" w:eastAsia="仿宋_GB2312" w:cs="仿宋_GB2312"/>
          <w:i w:val="0"/>
          <w:strike w:val="0"/>
          <w:color w:val="000000"/>
          <w:sz w:val="32"/>
          <w:highlight w:val="none"/>
          <w:u w:val="none"/>
        </w:rPr>
        <w:t>深入学习贯彻习近平总书记对广东工作、深圳工作系列重要讲话和重要指示精神，认真落实省、市、区委的决策部署，</w:t>
      </w:r>
      <w:r>
        <w:rPr>
          <w:rFonts w:ascii="仿宋_GB2312" w:hAnsi="仿宋_GB2312" w:eastAsia="仿宋_GB2312" w:cs="仿宋_GB2312"/>
          <w:i w:val="0"/>
          <w:strike w:val="0"/>
          <w:color w:val="000000"/>
          <w:spacing w:val="0"/>
          <w:sz w:val="32"/>
          <w:highlight w:val="none"/>
          <w:u w:val="none"/>
        </w:rPr>
        <w:t>科学把握新发展阶段，</w:t>
      </w:r>
      <w:r>
        <w:rPr>
          <w:rFonts w:hint="eastAsia" w:ascii="仿宋_GB2312" w:hAnsi="仿宋_GB2312" w:eastAsia="仿宋_GB2312" w:cs="仿宋_GB2312"/>
          <w:i w:val="0"/>
          <w:strike w:val="0"/>
          <w:color w:val="000000"/>
          <w:spacing w:val="0"/>
          <w:sz w:val="32"/>
          <w:highlight w:val="none"/>
          <w:u w:val="none"/>
          <w:lang w:eastAsia="zh-CN"/>
        </w:rPr>
        <w:t>坚持以人民为中心的发展思想</w:t>
      </w:r>
      <w:r>
        <w:rPr>
          <w:rFonts w:ascii="仿宋_GB2312" w:hAnsi="仿宋_GB2312" w:eastAsia="仿宋_GB2312" w:cs="仿宋_GB2312"/>
          <w:i w:val="0"/>
          <w:strike w:val="0"/>
          <w:color w:val="000000"/>
          <w:spacing w:val="0"/>
          <w:sz w:val="32"/>
          <w:highlight w:val="none"/>
          <w:u w:val="none"/>
        </w:rPr>
        <w:t>，以改革创新为强大动力，以“智能化、专业化、市场化、多元化、品质化”五化为抓手，</w:t>
      </w:r>
      <w:r>
        <w:rPr>
          <w:rFonts w:hint="default" w:ascii="仿宋_GB2312" w:hAnsi="仿宋_GB2312" w:eastAsia="仿宋_GB2312" w:cs="仿宋_GB2312"/>
          <w:i w:val="0"/>
          <w:strike w:val="0"/>
          <w:color w:val="000000"/>
          <w:spacing w:val="0"/>
          <w:sz w:val="32"/>
          <w:highlight w:val="none"/>
          <w:u w:val="none"/>
        </w:rPr>
        <w:t>坚持养老事业与养老产业双轮驱动，</w:t>
      </w:r>
      <w:r>
        <w:rPr>
          <w:rFonts w:ascii="仿宋_GB2312" w:hAnsi="仿宋_GB2312" w:eastAsia="仿宋_GB2312" w:cs="仿宋_GB2312"/>
          <w:i w:val="0"/>
          <w:strike w:val="0"/>
          <w:color w:val="000000"/>
          <w:spacing w:val="0"/>
          <w:sz w:val="32"/>
          <w:highlight w:val="none"/>
          <w:u w:val="none"/>
        </w:rPr>
        <w:t>推动宝安区民政事业高质量发展，</w:t>
      </w:r>
      <w:r>
        <w:rPr>
          <w:rFonts w:hint="eastAsia" w:ascii="仿宋_GB2312" w:hAnsi="仿宋_GB2312" w:eastAsia="仿宋_GB2312" w:cs="仿宋_GB2312"/>
          <w:i w:val="0"/>
          <w:strike w:val="0"/>
          <w:color w:val="000000"/>
          <w:spacing w:val="0"/>
          <w:sz w:val="32"/>
          <w:highlight w:val="none"/>
          <w:u w:val="none"/>
          <w:lang w:eastAsia="zh-CN"/>
        </w:rPr>
        <w:t>让全体人民共同富裕</w:t>
      </w:r>
      <w:r>
        <w:rPr>
          <w:rFonts w:hint="eastAsia" w:ascii="仿宋_GB2312" w:hAnsi="仿宋_GB2312" w:eastAsia="仿宋_GB2312" w:cs="仿宋_GB2312"/>
          <w:sz w:val="32"/>
          <w:szCs w:val="32"/>
        </w:rPr>
        <w:t>迈出坚实步伐</w:t>
      </w:r>
      <w:r>
        <w:rPr>
          <w:rFonts w:hint="eastAsia" w:ascii="仿宋_GB2312" w:hAnsi="仿宋_GB2312" w:eastAsia="仿宋_GB2312" w:cs="仿宋_GB2312"/>
          <w:sz w:val="32"/>
          <w:szCs w:val="32"/>
          <w:lang w:eastAsia="zh-CN"/>
        </w:rPr>
        <w:t>。</w:t>
      </w:r>
      <w:r>
        <w:rPr>
          <w:rFonts w:ascii="仿宋_GB2312" w:hAnsi="仿宋_GB2312" w:eastAsia="仿宋_GB2312" w:cs="仿宋_GB2312"/>
          <w:i w:val="0"/>
          <w:strike w:val="0"/>
          <w:color w:val="000000"/>
          <w:spacing w:val="0"/>
          <w:sz w:val="32"/>
          <w:highlight w:val="none"/>
          <w:u w:val="none"/>
        </w:rPr>
        <w:t>探索超大型城市民政服务新模式，为推进基本公共服务均等化提供“宝安样本”。</w:t>
      </w:r>
    </w:p>
    <w:p w14:paraId="7291E90F">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47" w:name="_Toc25418"/>
      <w:bookmarkStart w:id="48" w:name="_Toc28297"/>
      <w:r>
        <w:rPr>
          <w:rFonts w:ascii="黑体" w:hAnsi="黑体" w:eastAsia="黑体" w:cs="黑体"/>
          <w:i w:val="0"/>
          <w:strike w:val="0"/>
          <w:color w:val="000000"/>
          <w:spacing w:val="0"/>
          <w:sz w:val="32"/>
          <w:highlight w:val="none"/>
          <w:u w:val="none"/>
        </w:rPr>
        <w:t>二、基本原则</w:t>
      </w:r>
      <w:bookmarkEnd w:id="47"/>
      <w:bookmarkEnd w:id="48"/>
    </w:p>
    <w:p w14:paraId="3D703C55">
      <w:pPr>
        <w:pStyle w:val="7"/>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49" w:name="_Toc14968"/>
      <w:bookmarkStart w:id="50" w:name="_Toc10008"/>
      <w:r>
        <w:rPr>
          <w:rFonts w:ascii="楷体_GB2312" w:hAnsi="楷体_GB2312" w:eastAsia="楷体_GB2312" w:cs="楷体_GB2312"/>
          <w:i w:val="0"/>
          <w:strike w:val="0"/>
          <w:color w:val="000000"/>
          <w:spacing w:val="0"/>
          <w:sz w:val="32"/>
          <w:highlight w:val="none"/>
          <w:u w:val="none"/>
        </w:rPr>
        <w:t>（一）坚持党建引领，锚定民政发展航向</w:t>
      </w:r>
      <w:bookmarkEnd w:id="49"/>
      <w:bookmarkEnd w:id="50"/>
    </w:p>
    <w:p w14:paraId="1FB66757">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毫不动摇坚持党对民政</w:t>
      </w:r>
      <w:r>
        <w:rPr>
          <w:rFonts w:hint="eastAsia" w:ascii="仿宋_GB2312" w:hAnsi="仿宋_GB2312" w:eastAsia="仿宋_GB2312" w:cs="仿宋_GB2312"/>
          <w:i w:val="0"/>
          <w:strike w:val="0"/>
          <w:color w:val="000000"/>
          <w:spacing w:val="0"/>
          <w:sz w:val="32"/>
          <w:highlight w:val="none"/>
          <w:u w:val="none"/>
          <w:lang w:val="en-US" w:eastAsia="zh-CN"/>
        </w:rPr>
        <w:t>工作</w:t>
      </w:r>
      <w:r>
        <w:rPr>
          <w:rFonts w:ascii="仿宋_GB2312" w:hAnsi="仿宋_GB2312" w:eastAsia="仿宋_GB2312" w:cs="仿宋_GB2312"/>
          <w:i w:val="0"/>
          <w:strike w:val="0"/>
          <w:color w:val="000000"/>
          <w:spacing w:val="0"/>
          <w:sz w:val="32"/>
          <w:highlight w:val="none"/>
          <w:u w:val="none"/>
        </w:rPr>
        <w:t>的</w:t>
      </w:r>
      <w:r>
        <w:rPr>
          <w:rFonts w:hint="eastAsia" w:ascii="仿宋_GB2312" w:hAnsi="仿宋_GB2312" w:eastAsia="仿宋_GB2312" w:cs="仿宋_GB2312"/>
          <w:i w:val="0"/>
          <w:strike w:val="0"/>
          <w:color w:val="000000"/>
          <w:spacing w:val="0"/>
          <w:sz w:val="32"/>
          <w:highlight w:val="none"/>
          <w:u w:val="none"/>
          <w:lang w:val="en-US" w:eastAsia="zh-CN"/>
        </w:rPr>
        <w:t>全面</w:t>
      </w:r>
      <w:r>
        <w:rPr>
          <w:rFonts w:ascii="仿宋_GB2312" w:hAnsi="仿宋_GB2312" w:eastAsia="仿宋_GB2312" w:cs="仿宋_GB2312"/>
          <w:i w:val="0"/>
          <w:strike w:val="0"/>
          <w:color w:val="000000"/>
          <w:spacing w:val="0"/>
          <w:sz w:val="32"/>
          <w:highlight w:val="none"/>
          <w:u w:val="none"/>
        </w:rPr>
        <w:t>领导，深入贯彻习近平新时代中国特色社会主义思想，全面落实习近平总书记对民政工作的重要指示批示精神。增强政治判断力、</w:t>
      </w:r>
      <w:r>
        <w:rPr>
          <w:rFonts w:hint="eastAsia" w:ascii="仿宋_GB2312" w:hAnsi="仿宋_GB2312" w:eastAsia="仿宋_GB2312" w:cs="仿宋_GB2312"/>
          <w:i w:val="0"/>
          <w:strike w:val="0"/>
          <w:color w:val="000000"/>
          <w:spacing w:val="0"/>
          <w:sz w:val="32"/>
          <w:highlight w:val="none"/>
          <w:u w:val="none"/>
          <w:lang w:eastAsia="zh-CN"/>
        </w:rPr>
        <w:t>理解力</w:t>
      </w:r>
      <w:r>
        <w:rPr>
          <w:rFonts w:ascii="仿宋_GB2312" w:hAnsi="仿宋_GB2312" w:eastAsia="仿宋_GB2312" w:cs="仿宋_GB2312"/>
          <w:i w:val="0"/>
          <w:strike w:val="0"/>
          <w:color w:val="000000"/>
          <w:spacing w:val="0"/>
          <w:sz w:val="32"/>
          <w:highlight w:val="none"/>
          <w:u w:val="none"/>
        </w:rPr>
        <w:t>和执行力，坚决捍卫“两个确立”、做到“两个维护”，确保民政事业始终沿着党中央指引的正确方向破浪前行，为筑牢民生根基提供坚强政治保障。</w:t>
      </w:r>
    </w:p>
    <w:p w14:paraId="18B5F129">
      <w:pPr>
        <w:pStyle w:val="7"/>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51" w:name="_Toc4487"/>
      <w:bookmarkStart w:id="52" w:name="_Toc3388"/>
      <w:r>
        <w:rPr>
          <w:rFonts w:ascii="楷体_GB2312" w:hAnsi="楷体_GB2312" w:eastAsia="楷体_GB2312" w:cs="楷体_GB2312"/>
          <w:i w:val="0"/>
          <w:strike w:val="0"/>
          <w:color w:val="000000"/>
          <w:spacing w:val="0"/>
          <w:sz w:val="32"/>
          <w:highlight w:val="none"/>
          <w:u w:val="none"/>
        </w:rPr>
        <w:t>（二）坚持人民至上，</w:t>
      </w:r>
      <w:r>
        <w:rPr>
          <w:rFonts w:hint="eastAsia" w:ascii="楷体_GB2312" w:hAnsi="楷体_GB2312" w:eastAsia="楷体_GB2312" w:cs="楷体_GB2312"/>
          <w:i w:val="0"/>
          <w:strike w:val="0"/>
          <w:color w:val="000000"/>
          <w:spacing w:val="0"/>
          <w:sz w:val="32"/>
          <w:highlight w:val="none"/>
          <w:u w:val="none"/>
        </w:rPr>
        <w:t>恪守为民爱民宗旨</w:t>
      </w:r>
      <w:bookmarkEnd w:id="51"/>
      <w:bookmarkEnd w:id="52"/>
    </w:p>
    <w:p w14:paraId="097FFAE7">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牢固树立以人民为中心的发展思想，践行“民政为民、民政爱民”核心理念。聚焦群众急难愁盼，突出精准性、普惠性、兜底性三位一体服务供给。全力构筑以共同富裕为目标的近悦远来民生共同体，持续提升群众获得感、幸福感、安全感。</w:t>
      </w:r>
    </w:p>
    <w:p w14:paraId="1DF5BD1F">
      <w:pPr>
        <w:pStyle w:val="7"/>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53" w:name="_Toc153"/>
      <w:bookmarkStart w:id="54" w:name="_Toc19387"/>
      <w:r>
        <w:rPr>
          <w:rFonts w:ascii="楷体_GB2312" w:hAnsi="楷体_GB2312" w:eastAsia="楷体_GB2312" w:cs="楷体_GB2312"/>
          <w:i w:val="0"/>
          <w:strike w:val="0"/>
          <w:color w:val="000000"/>
          <w:spacing w:val="0"/>
          <w:sz w:val="32"/>
          <w:highlight w:val="none"/>
          <w:u w:val="none"/>
        </w:rPr>
        <w:t>（三）坚持改革引领，</w:t>
      </w:r>
      <w:bookmarkEnd w:id="53"/>
      <w:r>
        <w:rPr>
          <w:rFonts w:hint="eastAsia" w:ascii="楷体_GB2312" w:hAnsi="楷体_GB2312" w:eastAsia="楷体_GB2312" w:cs="楷体_GB2312"/>
          <w:i w:val="0"/>
          <w:strike w:val="0"/>
          <w:color w:val="000000"/>
          <w:spacing w:val="0"/>
          <w:sz w:val="32"/>
          <w:highlight w:val="none"/>
          <w:u w:val="none"/>
        </w:rPr>
        <w:t>激发改革创新动能</w:t>
      </w:r>
      <w:bookmarkEnd w:id="54"/>
    </w:p>
    <w:p w14:paraId="11025D62">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shd w:val="clear" w:color="auto" w:fill="FFFFFF"/>
        </w:rPr>
        <w:t>坚持以改革破除体制机制障碍，以改革增强民政内生发展动力，以改革创新驱动民政事业高质量发展，积极探索发挥民政部门在发展产业、提振消费、扩大内需方面的新作用。</w:t>
      </w:r>
    </w:p>
    <w:p w14:paraId="00EBB55C">
      <w:pPr>
        <w:pStyle w:val="7"/>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55" w:name="_Toc10294"/>
      <w:bookmarkStart w:id="56" w:name="_Toc27850"/>
      <w:r>
        <w:rPr>
          <w:rFonts w:ascii="楷体_GB2312" w:hAnsi="楷体_GB2312" w:eastAsia="楷体_GB2312" w:cs="楷体_GB2312"/>
          <w:i w:val="0"/>
          <w:strike w:val="0"/>
          <w:color w:val="000000"/>
          <w:spacing w:val="0"/>
          <w:sz w:val="32"/>
          <w:highlight w:val="none"/>
          <w:u w:val="none"/>
        </w:rPr>
        <w:t>（四）坚持系统集成，强化全域协同效能</w:t>
      </w:r>
      <w:bookmarkEnd w:id="55"/>
      <w:bookmarkEnd w:id="56"/>
    </w:p>
    <w:p w14:paraId="2BCBD2F6">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立足超大型城区治理实际，强化“一盘棋”战略统筹。健全政府主导、社会参与、市场协同的多元共建机制。一方面发挥政府规划引领、政策供给与监管服务职能，另一方面全面开放民政领域，激发社会组织、企业等主体活力。推动资源跨部门整合、跨区域联动，形成“精准调度、高效协同、共建共享”的民政发展新格局。</w:t>
      </w:r>
    </w:p>
    <w:p w14:paraId="12439303">
      <w:pPr>
        <w:pStyle w:val="7"/>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57" w:name="_Toc12583"/>
      <w:bookmarkStart w:id="58" w:name="_Toc4887"/>
      <w:r>
        <w:rPr>
          <w:rFonts w:ascii="楷体_GB2312" w:hAnsi="楷体_GB2312" w:eastAsia="楷体_GB2312" w:cs="楷体_GB2312"/>
          <w:i w:val="0"/>
          <w:strike w:val="0"/>
          <w:color w:val="000000"/>
          <w:spacing w:val="0"/>
          <w:sz w:val="32"/>
          <w:highlight w:val="none"/>
          <w:u w:val="none"/>
        </w:rPr>
        <w:t>（五）坚持数字赋能，驱动服务质效跃升</w:t>
      </w:r>
      <w:bookmarkEnd w:id="57"/>
      <w:bookmarkEnd w:id="58"/>
    </w:p>
    <w:p w14:paraId="425E4504">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加快建立系统完备、科学规范、运行高效的民政政策制度体系，深化“放管服”改革与智慧民政融合创新。以人工智能、区块链为核心重构服务流程，拓展“AI+民政”全链条应用场景，全面提升民政数智化水平。探索民生政策智能匹配、风险预警秒级响应机制，实现服务从“人找政策”向“政策慧民”的根本性转变。</w:t>
      </w:r>
    </w:p>
    <w:p w14:paraId="41919668">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59" w:name="_Toc30186"/>
      <w:bookmarkStart w:id="60" w:name="_Toc11450"/>
      <w:r>
        <w:rPr>
          <w:rFonts w:ascii="黑体" w:hAnsi="黑体" w:eastAsia="黑体" w:cs="黑体"/>
          <w:i w:val="0"/>
          <w:strike w:val="0"/>
          <w:color w:val="000000"/>
          <w:spacing w:val="0"/>
          <w:sz w:val="32"/>
          <w:highlight w:val="none"/>
          <w:u w:val="none"/>
        </w:rPr>
        <w:t>三、发展目标</w:t>
      </w:r>
      <w:bookmarkEnd w:id="59"/>
      <w:bookmarkEnd w:id="60"/>
    </w:p>
    <w:p w14:paraId="7E34AF9E">
      <w:pPr>
        <w:pageBreakBefore w:val="0"/>
        <w:widowControl w:val="0"/>
        <w:kinsoku/>
        <w:wordWrap/>
        <w:overflowPunct/>
        <w:topLinePunct w:val="0"/>
        <w:autoSpaceDE/>
        <w:autoSpaceDN/>
        <w:bidi w:val="0"/>
        <w:adjustRightInd/>
        <w:snapToGrid/>
        <w:spacing w:before="0" w:after="0" w:line="560" w:lineRule="exact"/>
        <w:ind w:right="0" w:firstLine="640" w:firstLineChars="200"/>
        <w:jc w:val="both"/>
        <w:textAlignment w:val="auto"/>
        <w:rPr>
          <w:color w:val="000000"/>
          <w:highlight w:val="none"/>
        </w:rPr>
      </w:pPr>
      <w:r>
        <w:rPr>
          <w:rFonts w:hint="eastAsia" w:ascii="仿宋_GB2312" w:hAnsi="仿宋_GB2312" w:eastAsia="仿宋_GB2312" w:cs="仿宋_GB2312"/>
          <w:i w:val="0"/>
          <w:strike w:val="0"/>
          <w:color w:val="000000"/>
          <w:spacing w:val="0"/>
          <w:sz w:val="32"/>
          <w:highlight w:val="none"/>
          <w:u w:val="none"/>
          <w:lang w:val="en-US" w:eastAsia="zh-CN"/>
        </w:rPr>
        <w:t>“十五五”时期，宝安区民政事业发展的总体目标是：紧扣区域发展战略，以数字化转型与湾区协同为双轮驱动，着力构建覆盖更广、响应更快、质量更优的民政服务新格局。核心是打造聚焦主责主业的民生保障体系，健全涵盖社会救助、养老服务、儿童福利、残疾人保障等关键领域的精准保障网络；形成数据赋能的全要素智慧治理体系，推动人工智能、大数据在基层治理、社会组织、慈善公益等领域的深度融合与协同应用；完善规范高效的全链条品质服务体系，推动婚姻、殡葬、区划等专项社会事务提质增效，并联动发展银发经济、甜蜜经济。到2030年，率先建成具有区域影响力的民生幸福标杆城区。</w:t>
      </w:r>
    </w:p>
    <w:p w14:paraId="1C6C8DC0">
      <w:pPr>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left"/>
        <w:textAlignment w:val="auto"/>
        <w:rPr>
          <w:color w:val="000000"/>
          <w:highlight w:val="none"/>
        </w:rPr>
      </w:pPr>
      <w:r>
        <w:rPr>
          <w:rFonts w:ascii="黑体" w:hAnsi="黑体" w:eastAsia="黑体" w:cs="黑体"/>
          <w:i w:val="0"/>
          <w:strike w:val="0"/>
          <w:color w:val="000000"/>
          <w:sz w:val="32"/>
          <w:highlight w:val="none"/>
          <w:u w:val="none"/>
        </w:rPr>
        <w:t>——推进现代化建设的民政制度架构更加成熟。</w:t>
      </w:r>
      <w:r>
        <w:rPr>
          <w:rFonts w:ascii="仿宋_GB2312" w:hAnsi="仿宋_GB2312" w:eastAsia="仿宋_GB2312" w:cs="仿宋_GB2312"/>
          <w:i w:val="0"/>
          <w:strike w:val="0"/>
          <w:color w:val="000000"/>
          <w:sz w:val="32"/>
          <w:highlight w:val="none"/>
          <w:u w:val="none"/>
        </w:rPr>
        <w:t>救助、养老、社会组织、儿童福利等领域政策更加完备，部门协同、市区联动的行政执法机制更加完善</w:t>
      </w:r>
      <w:r>
        <w:rPr>
          <w:rFonts w:hint="eastAsia" w:ascii="仿宋_GB2312" w:hAnsi="仿宋_GB2312" w:eastAsia="仿宋_GB2312" w:cs="仿宋_GB2312"/>
          <w:i w:val="0"/>
          <w:strike w:val="0"/>
          <w:color w:val="000000"/>
          <w:sz w:val="32"/>
          <w:highlight w:val="none"/>
          <w:u w:val="none"/>
          <w:lang w:eastAsia="zh-CN"/>
        </w:rPr>
        <w:t>，</w:t>
      </w:r>
      <w:r>
        <w:rPr>
          <w:rFonts w:hint="eastAsia" w:ascii="仿宋_GB2312" w:hAnsi="仿宋_GB2312" w:eastAsia="仿宋_GB2312" w:cs="仿宋_GB2312"/>
          <w:sz w:val="32"/>
          <w:szCs w:val="32"/>
        </w:rPr>
        <w:t>社会保障制度更加优化更可持续</w:t>
      </w:r>
      <w:r>
        <w:rPr>
          <w:rFonts w:hint="eastAsia" w:ascii="仿宋_GB2312" w:hAnsi="仿宋_GB2312" w:eastAsia="仿宋_GB2312" w:cs="仿宋_GB2312"/>
          <w:sz w:val="32"/>
          <w:szCs w:val="32"/>
          <w:lang w:eastAsia="zh-CN"/>
        </w:rPr>
        <w:t>。</w:t>
      </w:r>
      <w:r>
        <w:rPr>
          <w:rFonts w:ascii="仿宋_GB2312" w:hAnsi="仿宋_GB2312" w:eastAsia="仿宋_GB2312" w:cs="仿宋_GB2312"/>
          <w:i w:val="0"/>
          <w:strike w:val="0"/>
          <w:color w:val="000000"/>
          <w:sz w:val="32"/>
          <w:highlight w:val="none"/>
          <w:u w:val="none"/>
        </w:rPr>
        <w:t>以标准化、规范化、法治化的政策法规制度体系，筑牢民政服务与管理根基，为民政制度建设提供经验范例。深化与前海合作区及港澳地区的规则衔接和机制对接，推动民政领域更高水平开放与协同。</w:t>
      </w:r>
    </w:p>
    <w:p w14:paraId="13C6D375">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黑体" w:hAnsi="黑体" w:eastAsia="黑体" w:cs="黑体"/>
          <w:i w:val="0"/>
          <w:strike w:val="0"/>
          <w:color w:val="000000"/>
          <w:sz w:val="32"/>
          <w:highlight w:val="none"/>
          <w:u w:val="none"/>
        </w:rPr>
        <w:t>——服务高质量发展的民政职责作用更加彰显。</w:t>
      </w:r>
      <w:r>
        <w:rPr>
          <w:rFonts w:ascii="仿宋_GB2312" w:hAnsi="仿宋_GB2312" w:eastAsia="仿宋_GB2312" w:cs="仿宋_GB2312"/>
          <w:i w:val="0"/>
          <w:strike w:val="0"/>
          <w:color w:val="000000"/>
          <w:sz w:val="32"/>
          <w:highlight w:val="none"/>
          <w:u w:val="none"/>
        </w:rPr>
        <w:t>充分发挥民政在扩内需、促消费中的积极作用，积极培育银发经济、甜蜜经济等消费新增长点，拓展健康、养老等服务消费，有效释放内需潜力。社会组织助力高质量发展作用更加凸显，加快形成银发经济、甜蜜经济发展的“宝安路径”，增强民政在服务中心大局中的贡献度、影响力。深化粤港澳大湾区在养老、救助、社会组织等领域的协同发展，助力构建湾区民生共同体。</w:t>
      </w:r>
    </w:p>
    <w:p w14:paraId="391F0643">
      <w:pPr>
        <w:pageBreakBefore w:val="0"/>
        <w:widowControl w:val="0"/>
        <w:kinsoku/>
        <w:overflowPunct/>
        <w:topLinePunct w:val="0"/>
        <w:autoSpaceDE/>
        <w:autoSpaceDN/>
        <w:bidi w:val="0"/>
        <w:adjustRightInd/>
        <w:snapToGrid/>
        <w:spacing w:before="0" w:after="0" w:line="560" w:lineRule="exact"/>
        <w:ind w:left="0" w:right="0" w:firstLine="420"/>
        <w:jc w:val="both"/>
        <w:textAlignment w:val="auto"/>
        <w:rPr>
          <w:color w:val="000000"/>
          <w:highlight w:val="none"/>
        </w:rPr>
      </w:pPr>
      <w:r>
        <w:rPr>
          <w:rFonts w:ascii="黑体" w:hAnsi="黑体" w:eastAsia="黑体" w:cs="黑体"/>
          <w:i w:val="0"/>
          <w:strike w:val="0"/>
          <w:color w:val="000000"/>
          <w:sz w:val="32"/>
          <w:highlight w:val="none"/>
          <w:u w:val="none"/>
        </w:rPr>
        <w:t>——适应民生需求变化的民政服务体系更加完善。</w:t>
      </w:r>
      <w:r>
        <w:rPr>
          <w:rFonts w:ascii="仿宋_GB2312" w:hAnsi="仿宋_GB2312" w:eastAsia="仿宋_GB2312" w:cs="仿宋_GB2312"/>
          <w:i w:val="0"/>
          <w:strike w:val="0"/>
          <w:color w:val="000000"/>
          <w:sz w:val="32"/>
          <w:highlight w:val="none"/>
          <w:u w:val="none"/>
        </w:rPr>
        <w:t>养老服务网络更加健全，分级分类、普惠可及、持续发展的养老服务体系更加完善。社会救助精准高效，动态监测实现全覆盖。儿童福利聚焦全面发展，</w:t>
      </w:r>
      <w:r>
        <w:rPr>
          <w:rFonts w:ascii="仿宋_GB2312" w:hAnsi="仿宋_GB2312" w:eastAsia="仿宋_GB2312" w:cs="仿宋_GB2312"/>
          <w:i w:val="0"/>
          <w:strike w:val="0"/>
          <w:color w:val="000000"/>
          <w:spacing w:val="0"/>
          <w:sz w:val="32"/>
          <w:highlight w:val="none"/>
          <w:u w:val="none"/>
        </w:rPr>
        <w:t>有效提升困境儿童关爱服务水平</w:t>
      </w:r>
      <w:r>
        <w:rPr>
          <w:rFonts w:ascii="仿宋_GB2312" w:hAnsi="仿宋_GB2312" w:eastAsia="仿宋_GB2312" w:cs="仿宋_GB2312"/>
          <w:i w:val="0"/>
          <w:strike w:val="0"/>
          <w:color w:val="000000"/>
          <w:sz w:val="32"/>
          <w:highlight w:val="none"/>
          <w:u w:val="none"/>
        </w:rPr>
        <w:t>。推动各类民政服务标准化、均等化，借助技术提升便捷性、可及性，让民政服务温暖民心，成为民政服务体系建设的标杆。</w:t>
      </w:r>
    </w:p>
    <w:p w14:paraId="43771369">
      <w:pPr>
        <w:pageBreakBefore w:val="0"/>
        <w:widowControl w:val="0"/>
        <w:kinsoku/>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黑体" w:hAnsi="黑体" w:eastAsia="黑体" w:cs="黑体"/>
          <w:i w:val="0"/>
          <w:strike w:val="0"/>
          <w:color w:val="000000"/>
          <w:sz w:val="32"/>
          <w:highlight w:val="none"/>
          <w:u w:val="none"/>
        </w:rPr>
        <w:t>——促进共同富裕的民生建设综合效益更加突出。</w:t>
      </w:r>
      <w:r>
        <w:rPr>
          <w:rFonts w:ascii="仿宋_GB2312" w:hAnsi="仿宋_GB2312" w:eastAsia="仿宋_GB2312" w:cs="仿宋_GB2312"/>
          <w:i w:val="0"/>
          <w:strike w:val="0"/>
          <w:color w:val="000000"/>
          <w:sz w:val="32"/>
          <w:highlight w:val="none"/>
          <w:u w:val="none"/>
        </w:rPr>
        <w:t>优化社会救助、社会福利、社会事务、社会治理等资源和要素分配，发挥公益慈善事业第三次分配作用，</w:t>
      </w:r>
      <w:r>
        <w:rPr>
          <w:rFonts w:hint="eastAsia" w:ascii="仿宋_GB2312" w:hAnsi="仿宋_GB2312" w:eastAsia="仿宋_GB2312" w:cs="仿宋_GB2312"/>
          <w:i w:val="0"/>
          <w:strike w:val="0"/>
          <w:color w:val="000000"/>
          <w:sz w:val="32"/>
          <w:highlight w:val="none"/>
          <w:u w:val="none"/>
          <w:lang w:val="en-US" w:eastAsia="zh-CN"/>
        </w:rPr>
        <w:t>引导、支持有意愿、有能力的企业、社会组织和个人捐赠。</w:t>
      </w:r>
      <w:r>
        <w:rPr>
          <w:rFonts w:ascii="仿宋_GB2312" w:hAnsi="仿宋_GB2312" w:eastAsia="仿宋_GB2312" w:cs="仿宋_GB2312"/>
          <w:i w:val="0"/>
          <w:strike w:val="0"/>
          <w:color w:val="000000"/>
          <w:sz w:val="32"/>
          <w:highlight w:val="none"/>
          <w:u w:val="none"/>
        </w:rPr>
        <w:t>以高效的民生建设，提高居民生活品质，在促进共同富裕道路上发挥示范引领作用。</w:t>
      </w:r>
    </w:p>
    <w:p w14:paraId="6D4A28B6">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61" w:name="_Toc4787"/>
      <w:bookmarkStart w:id="62" w:name="_Toc6339"/>
      <w:r>
        <w:rPr>
          <w:rFonts w:ascii="黑体" w:hAnsi="黑体" w:eastAsia="黑体" w:cs="黑体"/>
          <w:i w:val="0"/>
          <w:strike w:val="0"/>
          <w:color w:val="000000"/>
          <w:spacing w:val="0"/>
          <w:sz w:val="32"/>
          <w:highlight w:val="none"/>
          <w:u w:val="none"/>
        </w:rPr>
        <w:t>四、主要指标</w:t>
      </w:r>
      <w:bookmarkEnd w:id="61"/>
      <w:bookmarkEnd w:id="62"/>
    </w:p>
    <w:tbl>
      <w:tblPr>
        <w:tblStyle w:val="19"/>
        <w:tblW w:w="5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544"/>
        <w:gridCol w:w="3910"/>
        <w:gridCol w:w="605"/>
        <w:gridCol w:w="1169"/>
        <w:gridCol w:w="1145"/>
        <w:gridCol w:w="1291"/>
        <w:gridCol w:w="1009"/>
      </w:tblGrid>
      <w:tr w14:paraId="1954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000" w:type="pct"/>
            <w:gridSpan w:val="8"/>
            <w:noWrap/>
            <w:vAlign w:val="center"/>
          </w:tcPr>
          <w:p w14:paraId="39B9D3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黑体" w:hAnsi="黑体" w:eastAsia="黑体" w:cs="宋体"/>
                <w:bCs/>
                <w:color w:val="auto"/>
                <w:kern w:val="0"/>
                <w:sz w:val="28"/>
                <w:szCs w:val="28"/>
              </w:rPr>
            </w:pPr>
            <w:r>
              <w:rPr>
                <w:rFonts w:hint="eastAsia" w:ascii="楷体_GB2312" w:hAnsi="楷体_GB2312" w:eastAsia="楷体_GB2312" w:cs="楷体_GB2312"/>
                <w:color w:val="auto"/>
                <w:sz w:val="28"/>
                <w:szCs w:val="28"/>
                <w:lang w:eastAsia="zh-CN" w:bidi="ar"/>
              </w:rPr>
              <w:t>专栏</w:t>
            </w:r>
            <w:r>
              <w:rPr>
                <w:rFonts w:hint="eastAsia" w:ascii="楷体_GB2312" w:hAnsi="楷体_GB2312" w:eastAsia="楷体_GB2312" w:cs="楷体_GB2312"/>
                <w:color w:val="auto"/>
                <w:sz w:val="28"/>
                <w:szCs w:val="28"/>
                <w:lang w:val="en-US" w:eastAsia="zh-CN" w:bidi="ar"/>
              </w:rPr>
              <w:t xml:space="preserve">1 </w:t>
            </w:r>
            <w:r>
              <w:rPr>
                <w:rFonts w:hint="eastAsia" w:ascii="楷体_GB2312" w:hAnsi="楷体_GB2312" w:eastAsia="楷体_GB2312" w:cs="楷体_GB2312"/>
                <w:color w:val="auto"/>
                <w:sz w:val="28"/>
                <w:szCs w:val="28"/>
                <w:lang w:eastAsia="zh-CN" w:bidi="ar"/>
              </w:rPr>
              <w:t>“十五五”时期</w:t>
            </w:r>
            <w:r>
              <w:rPr>
                <w:rFonts w:hint="eastAsia" w:ascii="楷体_GB2312" w:hAnsi="楷体_GB2312" w:eastAsia="楷体_GB2312" w:cs="楷体_GB2312"/>
                <w:color w:val="auto"/>
                <w:sz w:val="28"/>
                <w:szCs w:val="28"/>
                <w:lang w:val="en-US" w:eastAsia="zh-CN" w:bidi="ar"/>
              </w:rPr>
              <w:t>宝安区</w:t>
            </w:r>
            <w:r>
              <w:rPr>
                <w:rFonts w:hint="eastAsia" w:ascii="楷体_GB2312" w:hAnsi="楷体_GB2312" w:eastAsia="楷体_GB2312" w:cs="楷体_GB2312"/>
                <w:color w:val="auto"/>
                <w:sz w:val="28"/>
                <w:szCs w:val="28"/>
                <w:lang w:eastAsia="zh-CN" w:bidi="ar"/>
              </w:rPr>
              <w:t>民政事业发展主要指标</w:t>
            </w:r>
          </w:p>
        </w:tc>
      </w:tr>
      <w:tr w14:paraId="3982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352" w:type="pct"/>
            <w:noWrap/>
            <w:vAlign w:val="center"/>
          </w:tcPr>
          <w:p w14:paraId="414C44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黑体" w:hAnsi="黑体" w:eastAsia="黑体" w:cs="宋体"/>
                <w:bCs/>
                <w:color w:val="auto"/>
                <w:kern w:val="0"/>
                <w:sz w:val="24"/>
                <w:szCs w:val="24"/>
              </w:rPr>
            </w:pPr>
            <w:r>
              <w:rPr>
                <w:rFonts w:hint="eastAsia" w:ascii="黑体" w:hAnsi="黑体" w:eastAsia="黑体" w:cs="宋体"/>
                <w:bCs/>
                <w:color w:val="auto"/>
                <w:kern w:val="0"/>
                <w:sz w:val="24"/>
                <w:szCs w:val="24"/>
              </w:rPr>
              <w:t>类别</w:t>
            </w:r>
          </w:p>
        </w:tc>
        <w:tc>
          <w:tcPr>
            <w:tcW w:w="261" w:type="pct"/>
            <w:noWrap w:val="0"/>
            <w:vAlign w:val="center"/>
          </w:tcPr>
          <w:p w14:paraId="3BE9CE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黑体" w:hAnsi="黑体" w:eastAsia="黑体" w:cs="宋体"/>
                <w:bCs/>
                <w:color w:val="auto"/>
                <w:kern w:val="0"/>
                <w:sz w:val="24"/>
                <w:szCs w:val="24"/>
              </w:rPr>
            </w:pPr>
            <w:r>
              <w:rPr>
                <w:rFonts w:hint="eastAsia" w:ascii="黑体" w:hAnsi="黑体" w:eastAsia="黑体" w:cs="宋体"/>
                <w:bCs/>
                <w:color w:val="auto"/>
                <w:kern w:val="0"/>
                <w:sz w:val="24"/>
                <w:szCs w:val="24"/>
              </w:rPr>
              <w:t>序号</w:t>
            </w:r>
          </w:p>
        </w:tc>
        <w:tc>
          <w:tcPr>
            <w:tcW w:w="1878" w:type="pct"/>
            <w:noWrap/>
            <w:vAlign w:val="center"/>
          </w:tcPr>
          <w:p w14:paraId="4C038C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黑体" w:hAnsi="黑体" w:eastAsia="黑体" w:cs="宋体"/>
                <w:bCs/>
                <w:color w:val="auto"/>
                <w:kern w:val="0"/>
                <w:sz w:val="24"/>
                <w:szCs w:val="24"/>
              </w:rPr>
            </w:pPr>
            <w:r>
              <w:rPr>
                <w:rFonts w:hint="eastAsia" w:ascii="黑体" w:hAnsi="黑体" w:eastAsia="黑体" w:cs="宋体"/>
                <w:bCs/>
                <w:color w:val="auto"/>
                <w:kern w:val="0"/>
                <w:sz w:val="24"/>
                <w:szCs w:val="24"/>
              </w:rPr>
              <w:t>主要指标</w:t>
            </w:r>
          </w:p>
        </w:tc>
        <w:tc>
          <w:tcPr>
            <w:tcW w:w="290" w:type="pct"/>
            <w:noWrap/>
            <w:vAlign w:val="center"/>
          </w:tcPr>
          <w:p w14:paraId="65ED5F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黑体" w:hAnsi="黑体" w:eastAsia="黑体" w:cs="宋体"/>
                <w:bCs/>
                <w:color w:val="auto"/>
                <w:kern w:val="0"/>
                <w:sz w:val="24"/>
                <w:szCs w:val="24"/>
              </w:rPr>
            </w:pPr>
            <w:r>
              <w:rPr>
                <w:rFonts w:hint="eastAsia" w:ascii="黑体" w:hAnsi="黑体" w:eastAsia="黑体" w:cs="宋体"/>
                <w:bCs/>
                <w:color w:val="auto"/>
                <w:kern w:val="0"/>
                <w:sz w:val="24"/>
                <w:szCs w:val="24"/>
              </w:rPr>
              <w:t>单位</w:t>
            </w:r>
          </w:p>
        </w:tc>
        <w:tc>
          <w:tcPr>
            <w:tcW w:w="561" w:type="pct"/>
            <w:noWrap w:val="0"/>
            <w:vAlign w:val="center"/>
          </w:tcPr>
          <w:p w14:paraId="18AEA2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黑体" w:hAnsi="黑体" w:eastAsia="黑体" w:cs="宋体"/>
                <w:bCs/>
                <w:color w:val="auto"/>
                <w:kern w:val="0"/>
                <w:sz w:val="24"/>
                <w:szCs w:val="24"/>
                <w:lang w:val="en-US" w:eastAsia="zh-CN"/>
              </w:rPr>
            </w:pPr>
            <w:r>
              <w:rPr>
                <w:rFonts w:hint="eastAsia" w:ascii="黑体" w:hAnsi="黑体" w:eastAsia="黑体" w:cs="宋体"/>
                <w:bCs/>
                <w:color w:val="auto"/>
                <w:kern w:val="0"/>
                <w:sz w:val="24"/>
                <w:szCs w:val="24"/>
                <w:lang w:val="en-US" w:eastAsia="zh-CN"/>
              </w:rPr>
              <w:t>2025年实际值</w:t>
            </w:r>
          </w:p>
        </w:tc>
        <w:tc>
          <w:tcPr>
            <w:tcW w:w="550" w:type="pct"/>
            <w:noWrap w:val="0"/>
            <w:vAlign w:val="center"/>
          </w:tcPr>
          <w:p w14:paraId="1CD015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黑体" w:hAnsi="黑体" w:eastAsia="黑体" w:cs="宋体"/>
                <w:bCs/>
                <w:color w:val="auto"/>
                <w:kern w:val="0"/>
                <w:sz w:val="24"/>
                <w:szCs w:val="24"/>
                <w:lang w:val="en-US" w:eastAsia="zh-CN"/>
              </w:rPr>
            </w:pPr>
            <w:r>
              <w:rPr>
                <w:rFonts w:hint="eastAsia" w:ascii="黑体" w:hAnsi="黑体" w:eastAsia="黑体" w:cs="宋体"/>
                <w:bCs/>
                <w:color w:val="auto"/>
                <w:kern w:val="0"/>
                <w:sz w:val="24"/>
                <w:szCs w:val="24"/>
                <w:lang w:val="en-US" w:eastAsia="zh-CN"/>
              </w:rPr>
              <w:t>2028年目标值</w:t>
            </w:r>
          </w:p>
        </w:tc>
        <w:tc>
          <w:tcPr>
            <w:tcW w:w="620" w:type="pct"/>
            <w:noWrap w:val="0"/>
            <w:vAlign w:val="center"/>
          </w:tcPr>
          <w:p w14:paraId="6AB25C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黑体" w:hAnsi="黑体" w:eastAsia="黑体" w:cs="宋体"/>
                <w:bCs/>
                <w:color w:val="auto"/>
                <w:kern w:val="0"/>
                <w:sz w:val="24"/>
                <w:szCs w:val="24"/>
              </w:rPr>
            </w:pPr>
            <w:r>
              <w:rPr>
                <w:rFonts w:hint="eastAsia" w:ascii="黑体" w:hAnsi="黑体" w:eastAsia="黑体" w:cs="宋体"/>
                <w:bCs/>
                <w:color w:val="auto"/>
                <w:kern w:val="0"/>
                <w:sz w:val="24"/>
                <w:szCs w:val="24"/>
                <w:lang w:val="en-US" w:eastAsia="zh-CN"/>
              </w:rPr>
              <w:t>2030年目标值</w:t>
            </w:r>
          </w:p>
        </w:tc>
        <w:tc>
          <w:tcPr>
            <w:tcW w:w="484" w:type="pct"/>
            <w:noWrap w:val="0"/>
            <w:vAlign w:val="center"/>
          </w:tcPr>
          <w:p w14:paraId="2A0DB8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黑体" w:hAnsi="黑体" w:eastAsia="黑体" w:cs="宋体"/>
                <w:bCs/>
                <w:color w:val="auto"/>
                <w:kern w:val="0"/>
                <w:sz w:val="24"/>
                <w:szCs w:val="24"/>
              </w:rPr>
            </w:pPr>
            <w:r>
              <w:rPr>
                <w:rFonts w:hint="eastAsia" w:ascii="黑体" w:hAnsi="黑体" w:eastAsia="黑体" w:cs="宋体"/>
                <w:bCs/>
                <w:color w:val="auto"/>
                <w:kern w:val="0"/>
                <w:sz w:val="24"/>
                <w:szCs w:val="24"/>
              </w:rPr>
              <w:t>指标属性</w:t>
            </w:r>
          </w:p>
        </w:tc>
      </w:tr>
      <w:tr w14:paraId="3900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restart"/>
            <w:noWrap/>
            <w:vAlign w:val="center"/>
          </w:tcPr>
          <w:p w14:paraId="518F7C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lang w:eastAsia="zh-CN"/>
              </w:rPr>
              <w:t>老龄和养老服务</w:t>
            </w:r>
          </w:p>
        </w:tc>
        <w:tc>
          <w:tcPr>
            <w:tcW w:w="261" w:type="pct"/>
            <w:noWrap w:val="0"/>
            <w:vAlign w:val="center"/>
          </w:tcPr>
          <w:p w14:paraId="2A411C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等线" w:eastAsia="仿宋_GB2312" w:cs="宋体"/>
                <w:color w:val="auto"/>
                <w:kern w:val="0"/>
                <w:sz w:val="22"/>
              </w:rPr>
            </w:pPr>
            <w:r>
              <w:rPr>
                <w:rFonts w:hint="eastAsia" w:ascii="仿宋_GB2312" w:hAnsi="等线" w:eastAsia="仿宋_GB2312" w:cs="宋体"/>
                <w:color w:val="auto"/>
                <w:kern w:val="0"/>
                <w:sz w:val="22"/>
              </w:rPr>
              <w:t>1</w:t>
            </w:r>
          </w:p>
        </w:tc>
        <w:tc>
          <w:tcPr>
            <w:tcW w:w="1878" w:type="pct"/>
            <w:noWrap/>
            <w:vAlign w:val="center"/>
          </w:tcPr>
          <w:p w14:paraId="26831E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strike/>
                <w:color w:val="C00000"/>
                <w:kern w:val="0"/>
                <w:sz w:val="22"/>
                <w:szCs w:val="32"/>
                <w:highlight w:val="yellow"/>
              </w:rPr>
            </w:pPr>
            <w:r>
              <w:rPr>
                <w:rFonts w:ascii="仿宋_GB2312" w:hAnsi="仿宋_GB2312" w:eastAsia="仿宋_GB2312" w:cs="仿宋_GB2312"/>
                <w:i w:val="0"/>
                <w:strike w:val="0"/>
                <w:color w:val="000000"/>
                <w:spacing w:val="0"/>
                <w:sz w:val="22"/>
                <w:highlight w:val="none"/>
                <w:u w:val="none"/>
              </w:rPr>
              <w:t>示范性老年友好型社区</w:t>
            </w:r>
          </w:p>
        </w:tc>
        <w:tc>
          <w:tcPr>
            <w:tcW w:w="290" w:type="pct"/>
            <w:noWrap/>
            <w:vAlign w:val="center"/>
          </w:tcPr>
          <w:p w14:paraId="504A625D">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strike/>
                <w:color w:val="C00000"/>
                <w:kern w:val="0"/>
                <w:sz w:val="22"/>
                <w:szCs w:val="32"/>
                <w:highlight w:val="yellow"/>
              </w:rPr>
            </w:pPr>
            <w:r>
              <w:rPr>
                <w:rFonts w:ascii="仿宋_GB2312" w:hAnsi="仿宋_GB2312" w:eastAsia="仿宋_GB2312" w:cs="仿宋_GB2312"/>
                <w:i w:val="0"/>
                <w:strike w:val="0"/>
                <w:color w:val="000000"/>
                <w:spacing w:val="0"/>
                <w:sz w:val="22"/>
                <w:highlight w:val="none"/>
                <w:u w:val="none"/>
              </w:rPr>
              <w:t>个</w:t>
            </w:r>
          </w:p>
        </w:tc>
        <w:tc>
          <w:tcPr>
            <w:tcW w:w="561" w:type="pct"/>
            <w:noWrap w:val="0"/>
            <w:vAlign w:val="center"/>
          </w:tcPr>
          <w:p w14:paraId="301C3B65">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strike/>
                <w:color w:val="C00000"/>
                <w:kern w:val="0"/>
                <w:sz w:val="22"/>
                <w:szCs w:val="32"/>
                <w:highlight w:val="yellow"/>
                <w:lang w:val="en-US" w:eastAsia="zh-CN"/>
              </w:rPr>
            </w:pPr>
            <w:r>
              <w:rPr>
                <w:rFonts w:ascii="仿宋_GB2312" w:hAnsi="仿宋_GB2312" w:eastAsia="仿宋_GB2312" w:cs="仿宋_GB2312"/>
                <w:i w:val="0"/>
                <w:strike w:val="0"/>
                <w:color w:val="000000"/>
                <w:spacing w:val="0"/>
                <w:sz w:val="22"/>
                <w:highlight w:val="none"/>
                <w:u w:val="none"/>
              </w:rPr>
              <w:t>2</w:t>
            </w:r>
          </w:p>
        </w:tc>
        <w:tc>
          <w:tcPr>
            <w:tcW w:w="550" w:type="pct"/>
            <w:noWrap w:val="0"/>
            <w:vAlign w:val="center"/>
          </w:tcPr>
          <w:p w14:paraId="76FAA135">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strike/>
                <w:color w:val="C00000"/>
                <w:kern w:val="0"/>
                <w:sz w:val="22"/>
                <w:szCs w:val="32"/>
                <w:highlight w:val="yellow"/>
                <w:lang w:val="en-US" w:eastAsia="zh-CN"/>
              </w:rPr>
            </w:pPr>
            <w:r>
              <w:rPr>
                <w:rFonts w:hint="eastAsia" w:ascii="仿宋_GB2312" w:hAnsi="仿宋_GB2312" w:eastAsia="仿宋_GB2312" w:cs="仿宋_GB2312"/>
                <w:i w:val="0"/>
                <w:strike w:val="0"/>
                <w:color w:val="000000"/>
                <w:spacing w:val="0"/>
                <w:sz w:val="22"/>
                <w:highlight w:val="none"/>
                <w:u w:val="none"/>
                <w:lang w:val="en-US" w:eastAsia="zh-CN"/>
              </w:rPr>
              <w:t>3</w:t>
            </w:r>
          </w:p>
        </w:tc>
        <w:tc>
          <w:tcPr>
            <w:tcW w:w="620" w:type="pct"/>
            <w:noWrap w:val="0"/>
            <w:vAlign w:val="center"/>
          </w:tcPr>
          <w:p w14:paraId="17A60E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strike/>
                <w:color w:val="C00000"/>
                <w:kern w:val="0"/>
                <w:sz w:val="22"/>
                <w:szCs w:val="32"/>
                <w:highlight w:val="yellow"/>
                <w:lang w:val="en-US"/>
              </w:rPr>
            </w:pPr>
            <w:r>
              <w:rPr>
                <w:rFonts w:hint="eastAsia" w:ascii="仿宋_GB2312" w:hAnsi="宋体" w:eastAsia="仿宋_GB2312" w:cs="宋体"/>
                <w:color w:val="auto"/>
                <w:kern w:val="0"/>
                <w:sz w:val="22"/>
                <w:szCs w:val="32"/>
                <w:lang w:val="en-US" w:eastAsia="zh-CN"/>
              </w:rPr>
              <w:t>5</w:t>
            </w:r>
          </w:p>
        </w:tc>
        <w:tc>
          <w:tcPr>
            <w:tcW w:w="484" w:type="pct"/>
            <w:noWrap w:val="0"/>
            <w:vAlign w:val="center"/>
          </w:tcPr>
          <w:p w14:paraId="133E5893">
            <w:pPr>
              <w:keepNext w:val="0"/>
              <w:keepLines w:val="0"/>
              <w:pageBreakBefore w:val="0"/>
              <w:suppressLineNumbers w:val="0"/>
              <w:tabs>
                <w:tab w:val="left" w:pos="168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strike/>
                <w:color w:val="C00000"/>
                <w:kern w:val="0"/>
                <w:sz w:val="22"/>
                <w:szCs w:val="32"/>
                <w:highlight w:val="yellow"/>
              </w:rPr>
            </w:pPr>
            <w:r>
              <w:rPr>
                <w:rFonts w:hint="eastAsia" w:ascii="仿宋_GB2312" w:hAnsi="宋体" w:eastAsia="仿宋_GB2312" w:cs="宋体"/>
                <w:color w:val="auto"/>
                <w:kern w:val="0"/>
                <w:sz w:val="22"/>
                <w:szCs w:val="32"/>
              </w:rPr>
              <w:t>预期性</w:t>
            </w:r>
          </w:p>
        </w:tc>
      </w:tr>
      <w:tr w14:paraId="60C2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646752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p>
        </w:tc>
        <w:tc>
          <w:tcPr>
            <w:tcW w:w="261" w:type="pct"/>
            <w:noWrap w:val="0"/>
            <w:vAlign w:val="center"/>
          </w:tcPr>
          <w:p w14:paraId="6AB4F9E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等线" w:eastAsia="仿宋_GB2312" w:cs="宋体"/>
                <w:color w:val="auto"/>
                <w:kern w:val="0"/>
                <w:sz w:val="22"/>
                <w:lang w:val="en-US" w:eastAsia="zh-CN"/>
              </w:rPr>
            </w:pPr>
            <w:r>
              <w:rPr>
                <w:rFonts w:hint="eastAsia" w:ascii="仿宋_GB2312" w:hAnsi="等线" w:cs="宋体"/>
                <w:color w:val="auto"/>
                <w:kern w:val="0"/>
                <w:sz w:val="22"/>
                <w:lang w:val="en-US" w:eastAsia="zh-CN"/>
              </w:rPr>
              <w:t>2</w:t>
            </w:r>
          </w:p>
        </w:tc>
        <w:tc>
          <w:tcPr>
            <w:tcW w:w="1878" w:type="pct"/>
            <w:noWrap/>
            <w:vAlign w:val="center"/>
          </w:tcPr>
          <w:p w14:paraId="52A402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rPr>
            </w:pPr>
            <w:r>
              <w:rPr>
                <w:rFonts w:hint="eastAsia" w:ascii="仿宋_GB2312" w:hAnsi="仿宋_GB2312" w:eastAsia="仿宋_GB2312" w:cs="仿宋_GB2312"/>
                <w:color w:val="auto"/>
                <w:kern w:val="0"/>
                <w:sz w:val="22"/>
                <w:szCs w:val="32"/>
                <w:highlight w:val="none"/>
                <w:lang w:val="en-US" w:eastAsia="zh-CN"/>
              </w:rPr>
              <w:t>基层老年协会覆盖率</w:t>
            </w:r>
          </w:p>
        </w:tc>
        <w:tc>
          <w:tcPr>
            <w:tcW w:w="290" w:type="pct"/>
            <w:noWrap/>
            <w:vAlign w:val="center"/>
          </w:tcPr>
          <w:p w14:paraId="034025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w:t>
            </w:r>
          </w:p>
        </w:tc>
        <w:tc>
          <w:tcPr>
            <w:tcW w:w="561" w:type="pct"/>
            <w:noWrap w:val="0"/>
            <w:vAlign w:val="center"/>
          </w:tcPr>
          <w:p w14:paraId="4B5F02A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w:t>
            </w:r>
          </w:p>
        </w:tc>
        <w:tc>
          <w:tcPr>
            <w:tcW w:w="550" w:type="pct"/>
            <w:noWrap w:val="0"/>
            <w:vAlign w:val="center"/>
          </w:tcPr>
          <w:p w14:paraId="6D15DB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80</w:t>
            </w:r>
          </w:p>
        </w:tc>
        <w:tc>
          <w:tcPr>
            <w:tcW w:w="620" w:type="pct"/>
            <w:noWrap w:val="0"/>
            <w:vAlign w:val="center"/>
          </w:tcPr>
          <w:p w14:paraId="6E8405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85</w:t>
            </w:r>
          </w:p>
        </w:tc>
        <w:tc>
          <w:tcPr>
            <w:tcW w:w="484" w:type="pct"/>
            <w:noWrap w:val="0"/>
            <w:vAlign w:val="center"/>
          </w:tcPr>
          <w:p w14:paraId="4842C32B">
            <w:pPr>
              <w:keepNext w:val="0"/>
              <w:keepLines w:val="0"/>
              <w:pageBreakBefore w:val="0"/>
              <w:suppressLineNumbers w:val="0"/>
              <w:tabs>
                <w:tab w:val="left" w:pos="168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lang w:eastAsia="zh-CN"/>
              </w:rPr>
            </w:pPr>
            <w:r>
              <w:rPr>
                <w:rFonts w:hint="eastAsia" w:ascii="仿宋_GB2312" w:hAnsi="宋体" w:eastAsia="仿宋_GB2312" w:cs="宋体"/>
                <w:color w:val="auto"/>
                <w:kern w:val="0"/>
                <w:sz w:val="22"/>
                <w:szCs w:val="32"/>
                <w:highlight w:val="none"/>
                <w:lang w:eastAsia="zh-CN"/>
              </w:rPr>
              <w:t>预期性</w:t>
            </w:r>
          </w:p>
        </w:tc>
      </w:tr>
      <w:tr w14:paraId="379D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017F24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757E76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等线" w:eastAsia="仿宋_GB2312" w:cs="宋体"/>
                <w:color w:val="auto"/>
                <w:kern w:val="0"/>
                <w:sz w:val="22"/>
              </w:rPr>
            </w:pPr>
            <w:r>
              <w:rPr>
                <w:rFonts w:hint="eastAsia" w:ascii="仿宋_GB2312" w:hAnsi="等线" w:cs="宋体"/>
                <w:color w:val="auto"/>
                <w:kern w:val="0"/>
                <w:sz w:val="22"/>
                <w:lang w:val="en-US" w:eastAsia="zh-CN"/>
              </w:rPr>
              <w:t>3</w:t>
            </w:r>
          </w:p>
        </w:tc>
        <w:tc>
          <w:tcPr>
            <w:tcW w:w="1878" w:type="pct"/>
            <w:noWrap/>
            <w:vAlign w:val="center"/>
          </w:tcPr>
          <w:p w14:paraId="7CBD51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highlight w:val="none"/>
              </w:rPr>
              <w:t>养老机构中护理型床位占比</w:t>
            </w:r>
          </w:p>
        </w:tc>
        <w:tc>
          <w:tcPr>
            <w:tcW w:w="290" w:type="pct"/>
            <w:noWrap/>
            <w:vAlign w:val="center"/>
          </w:tcPr>
          <w:p w14:paraId="1C2E07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highlight w:val="none"/>
              </w:rPr>
              <w:t>%</w:t>
            </w:r>
          </w:p>
        </w:tc>
        <w:tc>
          <w:tcPr>
            <w:tcW w:w="561" w:type="pct"/>
            <w:noWrap w:val="0"/>
            <w:vAlign w:val="center"/>
          </w:tcPr>
          <w:p w14:paraId="633AFE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color w:val="auto"/>
                <w:kern w:val="0"/>
                <w:sz w:val="22"/>
                <w:szCs w:val="32"/>
                <w:highlight w:val="none"/>
                <w:lang w:val="en-US"/>
              </w:rPr>
            </w:pPr>
            <w:r>
              <w:rPr>
                <w:rFonts w:hint="eastAsia" w:ascii="仿宋_GB2312" w:hAnsi="仿宋_GB2312" w:cs="仿宋_GB2312"/>
                <w:color w:val="auto"/>
                <w:kern w:val="0"/>
                <w:sz w:val="22"/>
                <w:szCs w:val="32"/>
                <w:highlight w:val="none"/>
                <w:lang w:val="en-US" w:eastAsia="zh-CN"/>
              </w:rPr>
              <w:t>83.5</w:t>
            </w:r>
          </w:p>
        </w:tc>
        <w:tc>
          <w:tcPr>
            <w:tcW w:w="550" w:type="pct"/>
            <w:noWrap w:val="0"/>
            <w:vAlign w:val="center"/>
          </w:tcPr>
          <w:p w14:paraId="03E1EE7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color w:val="auto"/>
                <w:kern w:val="0"/>
                <w:sz w:val="22"/>
                <w:szCs w:val="32"/>
                <w:highlight w:val="none"/>
                <w:lang w:val="en-US" w:eastAsia="zh-CN"/>
              </w:rPr>
            </w:pPr>
            <w:r>
              <w:rPr>
                <w:rFonts w:hint="eastAsia" w:ascii="仿宋_GB2312" w:hAnsi="仿宋_GB2312" w:eastAsia="仿宋_GB2312" w:cs="仿宋_GB2312"/>
                <w:color w:val="auto"/>
                <w:kern w:val="0"/>
                <w:sz w:val="22"/>
                <w:szCs w:val="32"/>
                <w:highlight w:val="none"/>
                <w:lang w:val="en-US" w:eastAsia="zh-CN"/>
              </w:rPr>
              <w:t>86</w:t>
            </w:r>
          </w:p>
        </w:tc>
        <w:tc>
          <w:tcPr>
            <w:tcW w:w="620" w:type="pct"/>
            <w:noWrap w:val="0"/>
            <w:vAlign w:val="center"/>
          </w:tcPr>
          <w:p w14:paraId="133910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color w:val="auto"/>
                <w:kern w:val="0"/>
                <w:sz w:val="22"/>
                <w:szCs w:val="32"/>
                <w:highlight w:val="none"/>
                <w:lang w:val="en-US"/>
              </w:rPr>
            </w:pPr>
            <w:r>
              <w:rPr>
                <w:rFonts w:hint="eastAsia" w:ascii="仿宋_GB2312" w:hAnsi="仿宋_GB2312" w:eastAsia="仿宋_GB2312" w:cs="仿宋_GB2312"/>
                <w:color w:val="auto"/>
                <w:kern w:val="0"/>
                <w:sz w:val="22"/>
                <w:szCs w:val="32"/>
                <w:highlight w:val="none"/>
                <w:lang w:val="en-US" w:eastAsia="zh-CN"/>
              </w:rPr>
              <w:t>90</w:t>
            </w:r>
          </w:p>
        </w:tc>
        <w:tc>
          <w:tcPr>
            <w:tcW w:w="484" w:type="pct"/>
            <w:noWrap w:val="0"/>
            <w:vAlign w:val="center"/>
          </w:tcPr>
          <w:p w14:paraId="74944A6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color w:val="auto"/>
                <w:kern w:val="0"/>
                <w:sz w:val="22"/>
                <w:szCs w:val="32"/>
                <w:highlight w:val="none"/>
              </w:rPr>
            </w:pPr>
            <w:r>
              <w:rPr>
                <w:rFonts w:hint="eastAsia" w:ascii="仿宋_GB2312" w:hAnsi="宋体" w:eastAsia="仿宋_GB2312" w:cs="宋体"/>
                <w:color w:val="auto"/>
                <w:kern w:val="0"/>
                <w:sz w:val="22"/>
                <w:szCs w:val="32"/>
                <w:lang w:eastAsia="zh-CN"/>
              </w:rPr>
              <w:t>约束</w:t>
            </w:r>
            <w:r>
              <w:rPr>
                <w:rFonts w:hint="eastAsia" w:ascii="仿宋_GB2312" w:hAnsi="宋体" w:eastAsia="仿宋_GB2312" w:cs="宋体"/>
                <w:color w:val="auto"/>
                <w:kern w:val="0"/>
                <w:sz w:val="22"/>
                <w:szCs w:val="32"/>
              </w:rPr>
              <w:t>性</w:t>
            </w:r>
          </w:p>
        </w:tc>
      </w:tr>
      <w:tr w14:paraId="66F2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1FF7518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shd w:val="clear" w:color="auto" w:fill="auto"/>
            <w:noWrap w:val="0"/>
            <w:vAlign w:val="center"/>
          </w:tcPr>
          <w:p w14:paraId="0C3489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等线" w:eastAsia="仿宋_GB2312" w:cs="宋体"/>
                <w:color w:val="auto"/>
                <w:kern w:val="0"/>
                <w:sz w:val="22"/>
                <w:szCs w:val="22"/>
                <w:lang w:val="en-US" w:eastAsia="zh-CN" w:bidi="ar-SA"/>
              </w:rPr>
            </w:pPr>
            <w:r>
              <w:rPr>
                <w:rFonts w:hint="eastAsia" w:ascii="仿宋_GB2312" w:hAnsi="等线" w:cs="宋体"/>
                <w:color w:val="auto"/>
                <w:kern w:val="0"/>
                <w:sz w:val="22"/>
                <w:lang w:val="en-US" w:eastAsia="zh-CN"/>
              </w:rPr>
              <w:t>4</w:t>
            </w:r>
          </w:p>
        </w:tc>
        <w:tc>
          <w:tcPr>
            <w:tcW w:w="1878" w:type="pct"/>
            <w:noWrap/>
            <w:vAlign w:val="center"/>
          </w:tcPr>
          <w:p w14:paraId="67D109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highlight w:val="none"/>
              </w:rPr>
              <w:t>认知症障碍照护床位</w:t>
            </w:r>
          </w:p>
        </w:tc>
        <w:tc>
          <w:tcPr>
            <w:tcW w:w="290" w:type="pct"/>
            <w:noWrap/>
            <w:vAlign w:val="center"/>
          </w:tcPr>
          <w:p w14:paraId="3A74B3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highlight w:val="none"/>
              </w:rPr>
              <w:t>张</w:t>
            </w:r>
          </w:p>
        </w:tc>
        <w:tc>
          <w:tcPr>
            <w:tcW w:w="561" w:type="pct"/>
            <w:noWrap w:val="0"/>
            <w:vAlign w:val="center"/>
          </w:tcPr>
          <w:p w14:paraId="28B1E7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highlight w:val="none"/>
                <w:lang w:val="en-US" w:eastAsia="zh-CN"/>
              </w:rPr>
            </w:pPr>
            <w:r>
              <w:rPr>
                <w:rFonts w:hint="eastAsia" w:ascii="仿宋_GB2312" w:hAnsi="仿宋_GB2312" w:eastAsia="仿宋_GB2312" w:cs="仿宋_GB2312"/>
                <w:color w:val="auto"/>
                <w:kern w:val="0"/>
                <w:sz w:val="22"/>
                <w:szCs w:val="32"/>
                <w:highlight w:val="none"/>
              </w:rPr>
              <w:t>56</w:t>
            </w:r>
          </w:p>
        </w:tc>
        <w:tc>
          <w:tcPr>
            <w:tcW w:w="550" w:type="pct"/>
            <w:noWrap w:val="0"/>
            <w:vAlign w:val="center"/>
          </w:tcPr>
          <w:p w14:paraId="2B5DAD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color w:val="auto"/>
                <w:kern w:val="0"/>
                <w:sz w:val="22"/>
                <w:szCs w:val="32"/>
                <w:highlight w:val="none"/>
                <w:lang w:val="en-US" w:eastAsia="zh-CN"/>
              </w:rPr>
            </w:pPr>
            <w:r>
              <w:rPr>
                <w:rFonts w:hint="eastAsia" w:ascii="仿宋_GB2312" w:hAnsi="仿宋_GB2312" w:eastAsia="仿宋_GB2312" w:cs="仿宋_GB2312"/>
                <w:color w:val="auto"/>
                <w:kern w:val="0"/>
                <w:sz w:val="22"/>
                <w:szCs w:val="32"/>
                <w:highlight w:val="none"/>
                <w:lang w:val="en-US" w:eastAsia="zh-CN"/>
              </w:rPr>
              <w:t>100</w:t>
            </w:r>
          </w:p>
        </w:tc>
        <w:tc>
          <w:tcPr>
            <w:tcW w:w="620" w:type="pct"/>
            <w:noWrap w:val="0"/>
            <w:vAlign w:val="center"/>
          </w:tcPr>
          <w:p w14:paraId="301BC8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highlight w:val="none"/>
                <w:lang w:val="en-US" w:eastAsia="zh-CN"/>
              </w:rPr>
            </w:pPr>
            <w:r>
              <w:rPr>
                <w:rFonts w:hint="eastAsia" w:ascii="仿宋_GB2312" w:hAnsi="仿宋_GB2312" w:eastAsia="仿宋_GB2312" w:cs="仿宋_GB2312"/>
                <w:color w:val="auto"/>
                <w:kern w:val="0"/>
                <w:sz w:val="22"/>
                <w:szCs w:val="32"/>
                <w:highlight w:val="none"/>
              </w:rPr>
              <w:t>368</w:t>
            </w:r>
          </w:p>
        </w:tc>
        <w:tc>
          <w:tcPr>
            <w:tcW w:w="484" w:type="pct"/>
            <w:noWrap w:val="0"/>
            <w:vAlign w:val="center"/>
          </w:tcPr>
          <w:p w14:paraId="2B5CD7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cs="宋体"/>
                <w:color w:val="auto"/>
                <w:kern w:val="0"/>
                <w:sz w:val="22"/>
                <w:szCs w:val="32"/>
                <w:lang w:eastAsia="zh-CN"/>
              </w:rPr>
            </w:pPr>
            <w:r>
              <w:rPr>
                <w:rFonts w:hint="eastAsia" w:ascii="仿宋_GB2312" w:hAnsi="宋体" w:cs="宋体"/>
                <w:color w:val="auto"/>
                <w:kern w:val="0"/>
                <w:sz w:val="22"/>
                <w:szCs w:val="32"/>
                <w:highlight w:val="none"/>
                <w:lang w:eastAsia="zh-CN"/>
              </w:rPr>
              <w:t>预期</w:t>
            </w:r>
            <w:r>
              <w:rPr>
                <w:rFonts w:hint="eastAsia" w:ascii="仿宋_GB2312" w:hAnsi="宋体" w:eastAsia="仿宋_GB2312" w:cs="宋体"/>
                <w:color w:val="auto"/>
                <w:kern w:val="0"/>
                <w:sz w:val="22"/>
                <w:szCs w:val="32"/>
                <w:highlight w:val="none"/>
              </w:rPr>
              <w:t>性</w:t>
            </w:r>
          </w:p>
        </w:tc>
      </w:tr>
      <w:tr w14:paraId="67BD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4D4665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shd w:val="clear" w:color="auto" w:fill="auto"/>
            <w:noWrap w:val="0"/>
            <w:vAlign w:val="center"/>
          </w:tcPr>
          <w:p w14:paraId="19BF54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等线" w:eastAsia="仿宋_GB2312" w:cs="宋体"/>
                <w:color w:val="auto"/>
                <w:kern w:val="0"/>
                <w:sz w:val="22"/>
                <w:szCs w:val="22"/>
                <w:lang w:val="en-US" w:eastAsia="zh-CN" w:bidi="ar-SA"/>
              </w:rPr>
            </w:pPr>
            <w:r>
              <w:rPr>
                <w:rFonts w:hint="eastAsia" w:ascii="仿宋_GB2312" w:hAnsi="等线" w:eastAsia="仿宋_GB2312" w:cs="宋体"/>
                <w:color w:val="auto"/>
                <w:kern w:val="0"/>
                <w:sz w:val="22"/>
                <w:lang w:val="en-US" w:eastAsia="zh-CN"/>
              </w:rPr>
              <w:t>5</w:t>
            </w:r>
          </w:p>
        </w:tc>
        <w:tc>
          <w:tcPr>
            <w:tcW w:w="1878" w:type="pct"/>
            <w:noWrap/>
            <w:vAlign w:val="center"/>
          </w:tcPr>
          <w:p w14:paraId="22CE16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lang w:eastAsia="zh-CN"/>
              </w:rPr>
              <w:t>老龄化社区长者服务站覆盖率</w:t>
            </w:r>
          </w:p>
        </w:tc>
        <w:tc>
          <w:tcPr>
            <w:tcW w:w="290" w:type="pct"/>
            <w:noWrap/>
            <w:vAlign w:val="center"/>
          </w:tcPr>
          <w:p w14:paraId="513A0C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rPr>
            </w:pPr>
            <w:r>
              <w:rPr>
                <w:rFonts w:hint="eastAsia" w:ascii="仿宋_GB2312" w:hAnsi="仿宋_GB2312" w:eastAsia="仿宋_GB2312" w:cs="仿宋_GB2312"/>
                <w:color w:val="auto"/>
                <w:kern w:val="0"/>
                <w:sz w:val="22"/>
                <w:szCs w:val="32"/>
              </w:rPr>
              <w:t>%</w:t>
            </w:r>
          </w:p>
        </w:tc>
        <w:tc>
          <w:tcPr>
            <w:tcW w:w="561" w:type="pct"/>
            <w:noWrap w:val="0"/>
            <w:vAlign w:val="center"/>
          </w:tcPr>
          <w:p w14:paraId="077239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lang w:val="en-US" w:eastAsia="zh-CN"/>
              </w:rPr>
            </w:pPr>
            <w:r>
              <w:rPr>
                <w:rFonts w:hint="eastAsia" w:ascii="仿宋_GB2312" w:hAnsi="仿宋_GB2312" w:eastAsia="仿宋_GB2312" w:cs="仿宋_GB2312"/>
                <w:color w:val="auto"/>
                <w:kern w:val="0"/>
                <w:sz w:val="22"/>
                <w:szCs w:val="32"/>
              </w:rPr>
              <w:t>100</w:t>
            </w:r>
          </w:p>
        </w:tc>
        <w:tc>
          <w:tcPr>
            <w:tcW w:w="550" w:type="pct"/>
            <w:noWrap w:val="0"/>
            <w:vAlign w:val="center"/>
          </w:tcPr>
          <w:p w14:paraId="0043A1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color w:val="auto"/>
                <w:kern w:val="0"/>
                <w:sz w:val="22"/>
                <w:szCs w:val="32"/>
                <w:highlight w:val="none"/>
                <w:lang w:val="en-US" w:eastAsia="zh-CN"/>
              </w:rPr>
            </w:pPr>
            <w:r>
              <w:rPr>
                <w:rFonts w:hint="eastAsia" w:ascii="仿宋_GB2312" w:hAnsi="仿宋_GB2312" w:eastAsia="仿宋_GB2312" w:cs="仿宋_GB2312"/>
                <w:color w:val="auto"/>
                <w:kern w:val="0"/>
                <w:sz w:val="22"/>
                <w:szCs w:val="32"/>
                <w:lang w:val="en-US" w:eastAsia="zh-CN"/>
              </w:rPr>
              <w:t>100</w:t>
            </w:r>
          </w:p>
        </w:tc>
        <w:tc>
          <w:tcPr>
            <w:tcW w:w="620" w:type="pct"/>
            <w:noWrap w:val="0"/>
            <w:vAlign w:val="center"/>
          </w:tcPr>
          <w:p w14:paraId="1161C3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none"/>
                <w:lang w:val="en-US" w:eastAsia="zh-CN"/>
              </w:rPr>
            </w:pPr>
            <w:r>
              <w:rPr>
                <w:rFonts w:hint="eastAsia" w:ascii="仿宋_GB2312" w:hAnsi="仿宋_GB2312" w:eastAsia="仿宋_GB2312" w:cs="仿宋_GB2312"/>
                <w:color w:val="auto"/>
                <w:kern w:val="0"/>
                <w:sz w:val="22"/>
                <w:szCs w:val="32"/>
              </w:rPr>
              <w:t>100</w:t>
            </w:r>
          </w:p>
        </w:tc>
        <w:tc>
          <w:tcPr>
            <w:tcW w:w="484" w:type="pct"/>
            <w:noWrap w:val="0"/>
            <w:vAlign w:val="center"/>
          </w:tcPr>
          <w:p w14:paraId="378723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cs="宋体"/>
                <w:color w:val="auto"/>
                <w:kern w:val="0"/>
                <w:sz w:val="22"/>
                <w:szCs w:val="32"/>
                <w:highlight w:val="none"/>
                <w:lang w:eastAsia="zh-CN"/>
              </w:rPr>
            </w:pPr>
            <w:r>
              <w:rPr>
                <w:rFonts w:hint="eastAsia" w:ascii="仿宋_GB2312" w:hAnsi="宋体" w:eastAsia="仿宋_GB2312" w:cs="宋体"/>
                <w:color w:val="auto"/>
                <w:kern w:val="0"/>
                <w:sz w:val="22"/>
                <w:szCs w:val="32"/>
                <w:lang w:eastAsia="zh-CN"/>
              </w:rPr>
              <w:t>约束</w:t>
            </w:r>
            <w:r>
              <w:rPr>
                <w:rFonts w:hint="eastAsia" w:ascii="仿宋_GB2312" w:hAnsi="宋体" w:eastAsia="仿宋_GB2312" w:cs="宋体"/>
                <w:color w:val="auto"/>
                <w:kern w:val="0"/>
                <w:sz w:val="22"/>
                <w:szCs w:val="32"/>
              </w:rPr>
              <w:t>性</w:t>
            </w:r>
          </w:p>
        </w:tc>
      </w:tr>
      <w:tr w14:paraId="7359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4F2583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3C740C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等线" w:eastAsia="仿宋_GB2312" w:cs="宋体"/>
                <w:color w:val="auto"/>
                <w:kern w:val="0"/>
                <w:sz w:val="22"/>
              </w:rPr>
            </w:pPr>
            <w:r>
              <w:rPr>
                <w:rFonts w:hint="eastAsia" w:ascii="仿宋_GB2312" w:hAnsi="等线" w:cs="宋体"/>
                <w:color w:val="auto"/>
                <w:kern w:val="0"/>
                <w:sz w:val="22"/>
                <w:lang w:val="en-US" w:eastAsia="zh-CN"/>
              </w:rPr>
              <w:t>6</w:t>
            </w:r>
          </w:p>
        </w:tc>
        <w:tc>
          <w:tcPr>
            <w:tcW w:w="1878" w:type="pct"/>
            <w:noWrap/>
            <w:vAlign w:val="center"/>
          </w:tcPr>
          <w:p w14:paraId="54F81C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eastAsia="zh-CN"/>
              </w:rPr>
            </w:pPr>
            <w:r>
              <w:rPr>
                <w:rFonts w:hint="eastAsia" w:ascii="仿宋_GB2312" w:hAnsi="仿宋_GB2312" w:eastAsia="仿宋_GB2312" w:cs="仿宋_GB2312"/>
                <w:color w:val="auto"/>
                <w:kern w:val="0"/>
                <w:sz w:val="22"/>
                <w:szCs w:val="32"/>
                <w:lang w:eastAsia="zh-CN"/>
              </w:rPr>
              <w:t>新建社区、新建居住（小）区配套建设养老服务设施达标率</w:t>
            </w:r>
          </w:p>
        </w:tc>
        <w:tc>
          <w:tcPr>
            <w:tcW w:w="290" w:type="pct"/>
            <w:noWrap/>
            <w:vAlign w:val="center"/>
          </w:tcPr>
          <w:p w14:paraId="7D573F5D">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auto"/>
                <w:kern w:val="0"/>
                <w:sz w:val="22"/>
                <w:szCs w:val="32"/>
              </w:rPr>
            </w:pPr>
            <w:r>
              <w:rPr>
                <w:rFonts w:ascii="仿宋_GB2312" w:hAnsi="仿宋_GB2312" w:eastAsia="仿宋_GB2312" w:cs="仿宋_GB2312"/>
                <w:i w:val="0"/>
                <w:strike w:val="0"/>
                <w:color w:val="000000"/>
                <w:spacing w:val="0"/>
                <w:sz w:val="22"/>
                <w:highlight w:val="none"/>
                <w:u w:val="none"/>
              </w:rPr>
              <w:t>%</w:t>
            </w:r>
          </w:p>
        </w:tc>
        <w:tc>
          <w:tcPr>
            <w:tcW w:w="561" w:type="pct"/>
            <w:noWrap w:val="0"/>
            <w:vAlign w:val="center"/>
          </w:tcPr>
          <w:p w14:paraId="31BABE02">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color w:val="auto"/>
                <w:kern w:val="0"/>
                <w:sz w:val="22"/>
                <w:szCs w:val="32"/>
                <w:lang w:val="en-US"/>
              </w:rPr>
            </w:pPr>
            <w:r>
              <w:rPr>
                <w:rFonts w:ascii="仿宋_GB2312" w:hAnsi="仿宋_GB2312" w:eastAsia="仿宋_GB2312" w:cs="仿宋_GB2312"/>
                <w:i w:val="0"/>
                <w:strike w:val="0"/>
                <w:color w:val="000000"/>
                <w:spacing w:val="0"/>
                <w:sz w:val="22"/>
                <w:highlight w:val="none"/>
                <w:u w:val="none"/>
              </w:rPr>
              <w:t>100</w:t>
            </w:r>
          </w:p>
        </w:tc>
        <w:tc>
          <w:tcPr>
            <w:tcW w:w="550" w:type="pct"/>
            <w:noWrap w:val="0"/>
            <w:vAlign w:val="center"/>
          </w:tcPr>
          <w:p w14:paraId="4028A05D">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color w:val="auto"/>
                <w:kern w:val="0"/>
                <w:sz w:val="22"/>
                <w:szCs w:val="32"/>
                <w:lang w:val="en-US" w:eastAsia="zh-CN"/>
              </w:rPr>
            </w:pPr>
            <w:r>
              <w:rPr>
                <w:rFonts w:ascii="仿宋_GB2312" w:hAnsi="仿宋_GB2312" w:eastAsia="仿宋_GB2312" w:cs="仿宋_GB2312"/>
                <w:i w:val="0"/>
                <w:strike w:val="0"/>
                <w:color w:val="000000"/>
                <w:spacing w:val="0"/>
                <w:sz w:val="22"/>
                <w:highlight w:val="none"/>
                <w:u w:val="none"/>
              </w:rPr>
              <w:t>100</w:t>
            </w:r>
          </w:p>
        </w:tc>
        <w:tc>
          <w:tcPr>
            <w:tcW w:w="620" w:type="pct"/>
            <w:noWrap w:val="0"/>
            <w:vAlign w:val="center"/>
          </w:tcPr>
          <w:p w14:paraId="018A810C">
            <w:pPr>
              <w:keepNext w:val="0"/>
              <w:keepLines w:val="0"/>
              <w:suppressLineNumbers w:val="0"/>
              <w:snapToGrid/>
              <w:spacing w:before="0" w:beforeAutospacing="0" w:after="0" w:afterAutospacing="0" w:line="360" w:lineRule="auto"/>
              <w:ind w:left="0" w:leftChars="0" w:right="0" w:rightChars="0"/>
              <w:jc w:val="center"/>
              <w:rPr>
                <w:rFonts w:hint="default"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484" w:type="pct"/>
            <w:noWrap w:val="0"/>
            <w:vAlign w:val="center"/>
          </w:tcPr>
          <w:p w14:paraId="02B1638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lang w:eastAsia="zh-CN"/>
              </w:rPr>
              <w:t>约束</w:t>
            </w:r>
            <w:r>
              <w:rPr>
                <w:rFonts w:hint="eastAsia" w:ascii="仿宋_GB2312" w:hAnsi="宋体" w:eastAsia="仿宋_GB2312" w:cs="宋体"/>
                <w:color w:val="auto"/>
                <w:kern w:val="0"/>
                <w:sz w:val="22"/>
                <w:szCs w:val="32"/>
              </w:rPr>
              <w:t>性</w:t>
            </w:r>
          </w:p>
        </w:tc>
      </w:tr>
      <w:tr w14:paraId="3BA4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3E5567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169170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等线" w:cs="宋体"/>
                <w:strike w:val="0"/>
                <w:dstrike w:val="0"/>
                <w:color w:val="auto"/>
                <w:kern w:val="0"/>
                <w:sz w:val="22"/>
                <w:lang w:val="en-US" w:eastAsia="zh-CN"/>
              </w:rPr>
            </w:pPr>
            <w:r>
              <w:rPr>
                <w:rFonts w:hint="eastAsia" w:ascii="仿宋_GB2312" w:hAnsi="等线" w:eastAsia="仿宋_GB2312" w:cs="宋体"/>
                <w:color w:val="auto"/>
                <w:kern w:val="0"/>
                <w:sz w:val="22"/>
                <w:lang w:val="en-US" w:eastAsia="zh-CN"/>
              </w:rPr>
              <w:t>7</w:t>
            </w:r>
          </w:p>
        </w:tc>
        <w:tc>
          <w:tcPr>
            <w:tcW w:w="1878" w:type="pct"/>
            <w:noWrap/>
            <w:vAlign w:val="center"/>
          </w:tcPr>
          <w:p w14:paraId="439132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eastAsia="zh-CN"/>
              </w:rPr>
            </w:pPr>
            <w:r>
              <w:rPr>
                <w:rFonts w:hint="eastAsia" w:ascii="仿宋_GB2312" w:hAnsi="仿宋_GB2312" w:eastAsia="仿宋_GB2312" w:cs="仿宋_GB2312"/>
                <w:color w:val="auto"/>
                <w:kern w:val="0"/>
                <w:sz w:val="22"/>
                <w:szCs w:val="32"/>
                <w:highlight w:val="none"/>
                <w:lang w:eastAsia="zh-CN"/>
              </w:rPr>
              <w:t>养老机构中取得职业技能等级证书的养老护理员占比</w:t>
            </w:r>
          </w:p>
        </w:tc>
        <w:tc>
          <w:tcPr>
            <w:tcW w:w="290" w:type="pct"/>
            <w:noWrap/>
            <w:vAlign w:val="center"/>
          </w:tcPr>
          <w:p w14:paraId="5CCD74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w:t>
            </w:r>
          </w:p>
        </w:tc>
        <w:tc>
          <w:tcPr>
            <w:tcW w:w="561" w:type="pct"/>
            <w:noWrap w:val="0"/>
            <w:vAlign w:val="center"/>
          </w:tcPr>
          <w:p w14:paraId="0A8D8C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highlight w:val="none"/>
                <w:lang w:val="en-US" w:eastAsia="zh-CN"/>
              </w:rPr>
              <w:t>33.7</w:t>
            </w:r>
          </w:p>
        </w:tc>
        <w:tc>
          <w:tcPr>
            <w:tcW w:w="550" w:type="pct"/>
            <w:noWrap w:val="0"/>
            <w:vAlign w:val="center"/>
          </w:tcPr>
          <w:p w14:paraId="4F951F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highlight w:val="yellow"/>
                <w:lang w:val="en-US" w:eastAsia="zh-CN"/>
              </w:rPr>
            </w:pPr>
            <w:r>
              <w:rPr>
                <w:rFonts w:hint="eastAsia" w:ascii="仿宋_GB2312" w:hAnsi="仿宋_GB2312" w:eastAsia="仿宋_GB2312" w:cs="仿宋_GB2312"/>
                <w:color w:val="auto"/>
                <w:kern w:val="0"/>
                <w:sz w:val="22"/>
                <w:szCs w:val="32"/>
                <w:highlight w:val="none"/>
                <w:lang w:val="en-US" w:eastAsia="zh-CN"/>
              </w:rPr>
              <w:t>40</w:t>
            </w:r>
          </w:p>
        </w:tc>
        <w:tc>
          <w:tcPr>
            <w:tcW w:w="620" w:type="pct"/>
            <w:noWrap w:val="0"/>
            <w:vAlign w:val="center"/>
          </w:tcPr>
          <w:p w14:paraId="64A4ED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highlight w:val="none"/>
                <w:lang w:val="en-US" w:eastAsia="zh-CN"/>
              </w:rPr>
              <w:t>50</w:t>
            </w:r>
          </w:p>
        </w:tc>
        <w:tc>
          <w:tcPr>
            <w:tcW w:w="484" w:type="pct"/>
            <w:noWrap w:val="0"/>
            <w:vAlign w:val="center"/>
          </w:tcPr>
          <w:p w14:paraId="415A8FD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预期性</w:t>
            </w:r>
          </w:p>
        </w:tc>
      </w:tr>
      <w:tr w14:paraId="3754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579A10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3232393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8</w:t>
            </w:r>
          </w:p>
        </w:tc>
        <w:tc>
          <w:tcPr>
            <w:tcW w:w="1878" w:type="pct"/>
            <w:shd w:val="clear" w:color="auto" w:fill="auto"/>
            <w:noWrap/>
            <w:vAlign w:val="center"/>
          </w:tcPr>
          <w:p w14:paraId="3064902E">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ascii="仿宋_GB2312" w:hAnsi="仿宋_GB2312" w:eastAsia="仿宋_GB2312" w:cs="仿宋_GB2312"/>
                <w:i w:val="0"/>
                <w:strike w:val="0"/>
                <w:color w:val="000000"/>
                <w:spacing w:val="0"/>
                <w:sz w:val="22"/>
                <w:highlight w:val="none"/>
                <w:u w:val="none"/>
              </w:rPr>
              <w:t>星级以上养老机构占养老机构总数比例</w:t>
            </w:r>
          </w:p>
        </w:tc>
        <w:tc>
          <w:tcPr>
            <w:tcW w:w="290" w:type="pct"/>
            <w:shd w:val="clear" w:color="auto" w:fill="auto"/>
            <w:noWrap/>
            <w:vAlign w:val="center"/>
          </w:tcPr>
          <w:p w14:paraId="617C4B04">
            <w:pPr>
              <w:keepNext w:val="0"/>
              <w:keepLines w:val="0"/>
              <w:suppressLineNumbers w:val="0"/>
              <w:snapToGrid/>
              <w:spacing w:before="0" w:beforeAutospacing="0" w:after="0" w:afterAutospacing="0" w:line="360" w:lineRule="auto"/>
              <w:ind w:left="0" w:leftChars="0" w:right="0" w:rightChars="0"/>
              <w:jc w:val="center"/>
              <w:rPr>
                <w:rFonts w:ascii="仿宋_GB2312" w:hAnsi="仿宋_GB2312" w:eastAsia="仿宋_GB2312" w:cs="仿宋_GB2312"/>
                <w:i w:val="0"/>
                <w:strike w:val="0"/>
                <w:color w:val="000000"/>
                <w:spacing w:val="0"/>
                <w:kern w:val="2"/>
                <w:sz w:val="22"/>
                <w:szCs w:val="22"/>
                <w:highlight w:val="none"/>
                <w:u w:val="none"/>
                <w:lang w:val="en-US" w:eastAsia="zh-CN" w:bidi="ar-SA"/>
              </w:rPr>
            </w:pPr>
            <w:r>
              <w:rPr>
                <w:rFonts w:ascii="仿宋_GB2312" w:hAnsi="仿宋_GB2312" w:eastAsia="仿宋_GB2312" w:cs="仿宋_GB2312"/>
                <w:i w:val="0"/>
                <w:strike w:val="0"/>
                <w:color w:val="000000"/>
                <w:spacing w:val="0"/>
                <w:sz w:val="22"/>
                <w:highlight w:val="none"/>
                <w:u w:val="none"/>
              </w:rPr>
              <w:t>%</w:t>
            </w:r>
          </w:p>
        </w:tc>
        <w:tc>
          <w:tcPr>
            <w:tcW w:w="561" w:type="pct"/>
            <w:shd w:val="clear" w:color="auto" w:fill="auto"/>
            <w:noWrap w:val="0"/>
            <w:vAlign w:val="center"/>
          </w:tcPr>
          <w:p w14:paraId="59C61F66">
            <w:pPr>
              <w:keepNext w:val="0"/>
              <w:keepLines w:val="0"/>
              <w:suppressLineNumbers w:val="0"/>
              <w:snapToGrid/>
              <w:spacing w:before="0" w:beforeAutospacing="0" w:after="0" w:afterAutospacing="0" w:line="360" w:lineRule="auto"/>
              <w:ind w:left="0" w:leftChars="0" w:right="0" w:rightChars="0"/>
              <w:jc w:val="center"/>
              <w:rPr>
                <w:rFonts w:ascii="仿宋_GB2312" w:hAnsi="仿宋_GB2312" w:eastAsia="仿宋_GB2312" w:cs="仿宋_GB2312"/>
                <w:i w:val="0"/>
                <w:strike w:val="0"/>
                <w:color w:val="000000"/>
                <w:spacing w:val="0"/>
                <w:kern w:val="2"/>
                <w:sz w:val="22"/>
                <w:szCs w:val="22"/>
                <w:highlight w:val="none"/>
                <w:u w:val="none"/>
                <w:lang w:val="en-US" w:eastAsia="zh-CN" w:bidi="ar-SA"/>
              </w:rPr>
            </w:pPr>
            <w:r>
              <w:rPr>
                <w:rFonts w:ascii="仿宋_GB2312" w:hAnsi="仿宋_GB2312" w:eastAsia="仿宋_GB2312" w:cs="仿宋_GB2312"/>
                <w:i w:val="0"/>
                <w:strike w:val="0"/>
                <w:color w:val="000000"/>
                <w:spacing w:val="0"/>
                <w:sz w:val="22"/>
                <w:highlight w:val="none"/>
                <w:u w:val="none"/>
              </w:rPr>
              <w:t>28.6</w:t>
            </w:r>
          </w:p>
        </w:tc>
        <w:tc>
          <w:tcPr>
            <w:tcW w:w="550" w:type="pct"/>
            <w:shd w:val="clear" w:color="auto" w:fill="auto"/>
            <w:noWrap w:val="0"/>
            <w:vAlign w:val="center"/>
          </w:tcPr>
          <w:p w14:paraId="77490A99">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lang w:val="en-US" w:eastAsia="zh-CN"/>
              </w:rPr>
              <w:t>60</w:t>
            </w:r>
          </w:p>
        </w:tc>
        <w:tc>
          <w:tcPr>
            <w:tcW w:w="620" w:type="pct"/>
            <w:shd w:val="clear" w:color="auto" w:fill="auto"/>
            <w:noWrap w:val="0"/>
            <w:vAlign w:val="center"/>
          </w:tcPr>
          <w:p w14:paraId="245E26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lang w:val="en-US" w:eastAsia="zh-CN"/>
              </w:rPr>
              <w:t>80</w:t>
            </w:r>
          </w:p>
        </w:tc>
        <w:tc>
          <w:tcPr>
            <w:tcW w:w="484" w:type="pct"/>
            <w:shd w:val="clear" w:color="auto" w:fill="auto"/>
            <w:noWrap w:val="0"/>
            <w:vAlign w:val="center"/>
          </w:tcPr>
          <w:p w14:paraId="117E55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rPr>
              <w:t>预期性</w:t>
            </w:r>
          </w:p>
        </w:tc>
      </w:tr>
      <w:tr w14:paraId="5EF4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352" w:type="pct"/>
            <w:vMerge w:val="continue"/>
            <w:noWrap/>
            <w:vAlign w:val="center"/>
          </w:tcPr>
          <w:p w14:paraId="6E2B5E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2E2952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9</w:t>
            </w:r>
          </w:p>
        </w:tc>
        <w:tc>
          <w:tcPr>
            <w:tcW w:w="1878" w:type="pct"/>
            <w:shd w:val="clear" w:color="auto" w:fill="auto"/>
            <w:noWrap/>
            <w:vAlign w:val="center"/>
          </w:tcPr>
          <w:p w14:paraId="33D5B991">
            <w:pPr>
              <w:keepNext w:val="0"/>
              <w:keepLines w:val="0"/>
              <w:suppressLineNumbers w:val="0"/>
              <w:snapToGrid/>
              <w:spacing w:before="0" w:beforeAutospacing="0" w:after="0" w:afterAutospacing="0" w:line="360" w:lineRule="auto"/>
              <w:ind w:left="0" w:leftChars="0" w:right="0" w:rightChars="0"/>
              <w:jc w:val="center"/>
              <w:rPr>
                <w:rFonts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lang w:val="en-US" w:eastAsia="zh-CN"/>
              </w:rPr>
              <w:t>设立长者助餐冠名慈善基金</w:t>
            </w:r>
          </w:p>
        </w:tc>
        <w:tc>
          <w:tcPr>
            <w:tcW w:w="290" w:type="pct"/>
            <w:shd w:val="clear" w:color="auto" w:fill="auto"/>
            <w:noWrap/>
            <w:vAlign w:val="center"/>
          </w:tcPr>
          <w:p w14:paraId="5C0CF4E6">
            <w:pPr>
              <w:keepNext w:val="0"/>
              <w:keepLines w:val="0"/>
              <w:suppressLineNumbers w:val="0"/>
              <w:snapToGrid/>
              <w:spacing w:before="0" w:beforeAutospacing="0" w:after="0" w:afterAutospacing="0" w:line="360" w:lineRule="auto"/>
              <w:ind w:left="0" w:leftChars="0" w:right="0" w:rightChars="0"/>
              <w:jc w:val="center"/>
              <w:rPr>
                <w:rFonts w:ascii="仿宋_GB2312" w:hAnsi="仿宋_GB2312" w:eastAsia="仿宋_GB2312" w:cs="仿宋_GB2312"/>
                <w:i w:val="0"/>
                <w:strike w:val="0"/>
                <w:color w:val="000000"/>
                <w:spacing w:val="0"/>
                <w:kern w:val="2"/>
                <w:sz w:val="22"/>
                <w:szCs w:val="22"/>
                <w:highlight w:val="none"/>
                <w:u w:val="none"/>
                <w:lang w:val="en-US" w:eastAsia="zh-CN" w:bidi="ar-SA"/>
              </w:rPr>
            </w:pPr>
            <w:r>
              <w:rPr>
                <w:rFonts w:ascii="仿宋_GB2312" w:hAnsi="仿宋_GB2312" w:eastAsia="仿宋_GB2312" w:cs="仿宋_GB2312"/>
                <w:i w:val="0"/>
                <w:strike w:val="0"/>
                <w:color w:val="000000"/>
                <w:spacing w:val="0"/>
                <w:sz w:val="22"/>
                <w:highlight w:val="none"/>
                <w:u w:val="none"/>
              </w:rPr>
              <w:t>家</w:t>
            </w:r>
          </w:p>
        </w:tc>
        <w:tc>
          <w:tcPr>
            <w:tcW w:w="561" w:type="pct"/>
            <w:shd w:val="clear" w:color="auto" w:fill="auto"/>
            <w:noWrap w:val="0"/>
            <w:vAlign w:val="center"/>
          </w:tcPr>
          <w:p w14:paraId="58B69DA8">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lang w:val="en-US" w:eastAsia="zh-CN"/>
              </w:rPr>
              <w:t>2</w:t>
            </w:r>
          </w:p>
        </w:tc>
        <w:tc>
          <w:tcPr>
            <w:tcW w:w="550" w:type="pct"/>
            <w:shd w:val="clear" w:color="auto" w:fill="auto"/>
            <w:noWrap w:val="0"/>
            <w:vAlign w:val="center"/>
          </w:tcPr>
          <w:p w14:paraId="4EB345B8">
            <w:pPr>
              <w:keepNext w:val="0"/>
              <w:keepLines w:val="0"/>
              <w:suppressLineNumbers w:val="0"/>
              <w:snapToGrid/>
              <w:spacing w:before="0" w:beforeAutospacing="0" w:after="0" w:afterAutospacing="0" w:line="360" w:lineRule="auto"/>
              <w:ind w:left="0" w:leftChars="0" w:right="0" w:rightChars="0"/>
              <w:jc w:val="center"/>
              <w:rPr>
                <w:rFonts w:hint="default"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i w:val="0"/>
                <w:strike w:val="0"/>
                <w:color w:val="000000"/>
                <w:spacing w:val="0"/>
                <w:sz w:val="22"/>
                <w:highlight w:val="none"/>
                <w:u w:val="none"/>
                <w:lang w:val="en-US" w:eastAsia="zh-CN"/>
              </w:rPr>
              <w:t>3</w:t>
            </w:r>
          </w:p>
        </w:tc>
        <w:tc>
          <w:tcPr>
            <w:tcW w:w="620" w:type="pct"/>
            <w:noWrap w:val="0"/>
            <w:vAlign w:val="center"/>
          </w:tcPr>
          <w:p w14:paraId="5F3803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i w:val="0"/>
                <w:strike w:val="0"/>
                <w:color w:val="000000"/>
                <w:spacing w:val="0"/>
                <w:sz w:val="22"/>
                <w:highlight w:val="none"/>
                <w:u w:val="none"/>
                <w:lang w:val="en-US" w:eastAsia="zh-CN"/>
              </w:rPr>
            </w:pPr>
            <w:r>
              <w:rPr>
                <w:rFonts w:hint="eastAsia" w:ascii="仿宋_GB2312" w:hAnsi="仿宋_GB2312" w:eastAsia="仿宋_GB2312" w:cs="仿宋_GB2312"/>
                <w:i w:val="0"/>
                <w:strike w:val="0"/>
                <w:color w:val="000000"/>
                <w:spacing w:val="0"/>
                <w:sz w:val="22"/>
                <w:highlight w:val="none"/>
                <w:u w:val="none"/>
                <w:lang w:val="en-US" w:eastAsia="zh-CN"/>
              </w:rPr>
              <w:t>3</w:t>
            </w:r>
          </w:p>
        </w:tc>
        <w:tc>
          <w:tcPr>
            <w:tcW w:w="484" w:type="pct"/>
            <w:noWrap w:val="0"/>
            <w:vAlign w:val="center"/>
          </w:tcPr>
          <w:p w14:paraId="1BF65B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i w:val="0"/>
                <w:strike w:val="0"/>
                <w:color w:val="000000"/>
                <w:spacing w:val="0"/>
                <w:sz w:val="22"/>
                <w:highlight w:val="none"/>
                <w:u w:val="none"/>
              </w:rPr>
            </w:pPr>
            <w:r>
              <w:rPr>
                <w:rFonts w:hint="eastAsia" w:ascii="仿宋_GB2312" w:hAnsi="仿宋_GB2312" w:eastAsia="仿宋_GB2312" w:cs="仿宋_GB2312"/>
                <w:i w:val="0"/>
                <w:strike w:val="0"/>
                <w:color w:val="000000"/>
                <w:spacing w:val="0"/>
                <w:sz w:val="22"/>
                <w:highlight w:val="none"/>
                <w:u w:val="none"/>
              </w:rPr>
              <w:t>预期性</w:t>
            </w:r>
          </w:p>
        </w:tc>
      </w:tr>
      <w:tr w14:paraId="531B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6FF62D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771524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highlight w:val="none"/>
                <w:lang w:val="en-US" w:eastAsia="zh-CN"/>
              </w:rPr>
            </w:pPr>
            <w:r>
              <w:rPr>
                <w:rFonts w:hint="eastAsia" w:ascii="仿宋_GB2312" w:hAnsi="等线" w:eastAsia="仿宋_GB2312" w:cs="宋体"/>
                <w:color w:val="auto"/>
                <w:kern w:val="0"/>
                <w:sz w:val="22"/>
                <w:highlight w:val="none"/>
                <w:lang w:val="en-US" w:eastAsia="zh-CN"/>
              </w:rPr>
              <w:t>10</w:t>
            </w:r>
          </w:p>
        </w:tc>
        <w:tc>
          <w:tcPr>
            <w:tcW w:w="1878" w:type="pct"/>
            <w:shd w:val="clear" w:color="auto" w:fill="auto"/>
            <w:noWrap/>
            <w:vAlign w:val="center"/>
          </w:tcPr>
          <w:p w14:paraId="0D28EF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ascii="仿宋_GB2312" w:hAnsi="仿宋_GB2312" w:eastAsia="仿宋_GB2312" w:cs="仿宋_GB2312"/>
                <w:i w:val="0"/>
                <w:strike w:val="0"/>
                <w:color w:val="000000"/>
                <w:spacing w:val="0"/>
                <w:sz w:val="22"/>
                <w:highlight w:val="none"/>
                <w:u w:val="none"/>
              </w:rPr>
            </w:pPr>
            <w:r>
              <w:rPr>
                <w:rFonts w:hint="eastAsia" w:ascii="仿宋_GB2312" w:hAnsi="仿宋_GB2312" w:eastAsia="仿宋_GB2312" w:cs="仿宋_GB2312"/>
                <w:color w:val="000000"/>
                <w:kern w:val="2"/>
                <w:sz w:val="22"/>
                <w:szCs w:val="22"/>
                <w:highlight w:val="none"/>
                <w:u w:val="none"/>
              </w:rPr>
              <w:t>银发经济产业园区</w:t>
            </w:r>
          </w:p>
        </w:tc>
        <w:tc>
          <w:tcPr>
            <w:tcW w:w="290" w:type="pct"/>
            <w:shd w:val="clear" w:color="auto" w:fill="auto"/>
            <w:noWrap/>
            <w:vAlign w:val="center"/>
          </w:tcPr>
          <w:p w14:paraId="04A7B1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color w:val="000000"/>
                <w:kern w:val="2"/>
                <w:sz w:val="22"/>
                <w:szCs w:val="22"/>
                <w:highlight w:val="none"/>
                <w:u w:val="none"/>
              </w:rPr>
              <w:t>家</w:t>
            </w:r>
          </w:p>
        </w:tc>
        <w:tc>
          <w:tcPr>
            <w:tcW w:w="561" w:type="pct"/>
            <w:shd w:val="clear" w:color="auto" w:fill="auto"/>
            <w:noWrap w:val="0"/>
            <w:vAlign w:val="center"/>
          </w:tcPr>
          <w:p w14:paraId="02854D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color w:val="000000"/>
                <w:kern w:val="2"/>
                <w:sz w:val="22"/>
                <w:szCs w:val="22"/>
                <w:highlight w:val="none"/>
                <w:u w:val="none"/>
                <w:lang w:val="en-US" w:eastAsia="zh-CN"/>
              </w:rPr>
              <w:t>0</w:t>
            </w:r>
          </w:p>
        </w:tc>
        <w:tc>
          <w:tcPr>
            <w:tcW w:w="550" w:type="pct"/>
            <w:shd w:val="clear" w:color="auto" w:fill="auto"/>
            <w:noWrap w:val="0"/>
            <w:vAlign w:val="center"/>
          </w:tcPr>
          <w:p w14:paraId="45DEB8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_GB2312" w:hAnsi="仿宋_GB2312" w:eastAsia="仿宋_GB2312" w:cs="仿宋_GB2312"/>
                <w:i w:val="0"/>
                <w:strike w:val="0"/>
                <w:color w:val="000000"/>
                <w:spacing w:val="0"/>
                <w:kern w:val="2"/>
                <w:sz w:val="22"/>
                <w:szCs w:val="22"/>
                <w:highlight w:val="none"/>
                <w:u w:val="none"/>
                <w:lang w:val="en-US" w:eastAsia="zh-CN" w:bidi="ar-SA"/>
              </w:rPr>
            </w:pPr>
            <w:r>
              <w:rPr>
                <w:rFonts w:hint="eastAsia" w:ascii="仿宋_GB2312" w:hAnsi="仿宋_GB2312" w:eastAsia="仿宋_GB2312" w:cs="仿宋_GB2312"/>
                <w:color w:val="000000"/>
                <w:kern w:val="2"/>
                <w:sz w:val="22"/>
                <w:szCs w:val="22"/>
                <w:highlight w:val="none"/>
                <w:u w:val="none"/>
                <w:lang w:val="en-US" w:eastAsia="zh-CN"/>
              </w:rPr>
              <w:t>1</w:t>
            </w:r>
          </w:p>
        </w:tc>
        <w:tc>
          <w:tcPr>
            <w:tcW w:w="620" w:type="pct"/>
            <w:noWrap w:val="0"/>
            <w:vAlign w:val="center"/>
          </w:tcPr>
          <w:p w14:paraId="216D9E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仿宋_GB2312" w:hAnsi="仿宋_GB2312" w:eastAsia="仿宋_GB2312" w:cs="仿宋_GB2312"/>
                <w:i w:val="0"/>
                <w:strike w:val="0"/>
                <w:color w:val="000000"/>
                <w:spacing w:val="0"/>
                <w:sz w:val="22"/>
                <w:highlight w:val="none"/>
                <w:u w:val="none"/>
                <w:lang w:val="en-US" w:eastAsia="zh-CN"/>
              </w:rPr>
            </w:pPr>
            <w:r>
              <w:rPr>
                <w:rFonts w:hint="eastAsia" w:ascii="仿宋_GB2312" w:hAnsi="仿宋_GB2312" w:eastAsia="仿宋_GB2312" w:cs="仿宋_GB2312"/>
                <w:color w:val="000000"/>
                <w:kern w:val="2"/>
                <w:sz w:val="22"/>
                <w:szCs w:val="22"/>
                <w:highlight w:val="none"/>
                <w:u w:val="none"/>
                <w:lang w:val="en-US" w:eastAsia="zh-CN"/>
              </w:rPr>
              <w:t>1</w:t>
            </w:r>
          </w:p>
        </w:tc>
        <w:tc>
          <w:tcPr>
            <w:tcW w:w="484" w:type="pct"/>
            <w:noWrap w:val="0"/>
            <w:vAlign w:val="center"/>
          </w:tcPr>
          <w:p w14:paraId="659381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_GB2312" w:hAnsi="仿宋_GB2312" w:eastAsia="仿宋_GB2312" w:cs="仿宋_GB2312"/>
                <w:i w:val="0"/>
                <w:strike w:val="0"/>
                <w:color w:val="000000"/>
                <w:spacing w:val="0"/>
                <w:sz w:val="22"/>
                <w:highlight w:val="none"/>
                <w:u w:val="none"/>
              </w:rPr>
            </w:pPr>
            <w:r>
              <w:rPr>
                <w:rFonts w:hint="eastAsia" w:ascii="仿宋_GB2312" w:hAnsi="仿宋_GB2312" w:eastAsia="仿宋_GB2312" w:cs="仿宋_GB2312"/>
                <w:color w:val="000000"/>
                <w:kern w:val="2"/>
                <w:sz w:val="22"/>
                <w:szCs w:val="22"/>
                <w:highlight w:val="none"/>
                <w:u w:val="none"/>
              </w:rPr>
              <w:t>预期性</w:t>
            </w:r>
          </w:p>
        </w:tc>
      </w:tr>
      <w:tr w14:paraId="441A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40C91F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195492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highlight w:val="none"/>
                <w:lang w:val="en-US" w:eastAsia="zh-CN"/>
              </w:rPr>
            </w:pPr>
            <w:r>
              <w:rPr>
                <w:rFonts w:hint="eastAsia" w:ascii="仿宋_GB2312" w:hAnsi="等线" w:eastAsia="仿宋_GB2312" w:cs="宋体"/>
                <w:color w:val="auto"/>
                <w:kern w:val="0"/>
                <w:sz w:val="22"/>
                <w:highlight w:val="none"/>
                <w:lang w:val="en-US" w:eastAsia="zh-CN"/>
              </w:rPr>
              <w:t>11</w:t>
            </w:r>
          </w:p>
        </w:tc>
        <w:tc>
          <w:tcPr>
            <w:tcW w:w="1878" w:type="pct"/>
            <w:noWrap/>
            <w:vAlign w:val="center"/>
          </w:tcPr>
          <w:p w14:paraId="2A4501A0">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000000"/>
                <w:kern w:val="2"/>
                <w:sz w:val="22"/>
                <w:szCs w:val="22"/>
                <w:highlight w:val="none"/>
                <w:u w:val="none"/>
              </w:rPr>
            </w:pPr>
            <w:r>
              <w:rPr>
                <w:rFonts w:ascii="仿宋_GB2312" w:hAnsi="仿宋_GB2312" w:eastAsia="仿宋_GB2312" w:cs="仿宋_GB2312"/>
                <w:i w:val="0"/>
                <w:strike w:val="0"/>
                <w:color w:val="000000"/>
                <w:spacing w:val="0"/>
                <w:sz w:val="22"/>
                <w:highlight w:val="none"/>
                <w:u w:val="none"/>
              </w:rPr>
              <w:t>引进和培育龙头企业</w:t>
            </w:r>
          </w:p>
        </w:tc>
        <w:tc>
          <w:tcPr>
            <w:tcW w:w="290" w:type="pct"/>
            <w:noWrap/>
            <w:vAlign w:val="center"/>
          </w:tcPr>
          <w:p w14:paraId="75085221">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000000"/>
                <w:kern w:val="2"/>
                <w:sz w:val="22"/>
                <w:szCs w:val="22"/>
                <w:highlight w:val="none"/>
                <w:u w:val="none"/>
              </w:rPr>
            </w:pPr>
            <w:r>
              <w:rPr>
                <w:rFonts w:ascii="仿宋_GB2312" w:hAnsi="仿宋_GB2312" w:eastAsia="仿宋_GB2312" w:cs="仿宋_GB2312"/>
                <w:i w:val="0"/>
                <w:strike w:val="0"/>
                <w:color w:val="000000"/>
                <w:spacing w:val="0"/>
                <w:sz w:val="22"/>
                <w:highlight w:val="none"/>
                <w:u w:val="none"/>
              </w:rPr>
              <w:t>家</w:t>
            </w:r>
          </w:p>
        </w:tc>
        <w:tc>
          <w:tcPr>
            <w:tcW w:w="561" w:type="pct"/>
            <w:noWrap w:val="0"/>
            <w:vAlign w:val="center"/>
          </w:tcPr>
          <w:p w14:paraId="550FFACE">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000000"/>
                <w:kern w:val="2"/>
                <w:sz w:val="22"/>
                <w:szCs w:val="22"/>
                <w:highlight w:val="none"/>
                <w:u w:val="none"/>
                <w:lang w:val="en-US" w:eastAsia="zh-CN"/>
              </w:rPr>
            </w:pPr>
            <w:r>
              <w:rPr>
                <w:rFonts w:ascii="仿宋_GB2312" w:hAnsi="仿宋_GB2312" w:eastAsia="仿宋_GB2312" w:cs="仿宋_GB2312"/>
                <w:i w:val="0"/>
                <w:strike w:val="0"/>
                <w:color w:val="000000"/>
                <w:spacing w:val="0"/>
                <w:sz w:val="22"/>
                <w:highlight w:val="none"/>
                <w:u w:val="none"/>
              </w:rPr>
              <w:t>0</w:t>
            </w:r>
          </w:p>
        </w:tc>
        <w:tc>
          <w:tcPr>
            <w:tcW w:w="550" w:type="pct"/>
            <w:noWrap w:val="0"/>
            <w:vAlign w:val="center"/>
          </w:tcPr>
          <w:p w14:paraId="3BC5E58C">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000000"/>
                <w:kern w:val="2"/>
                <w:sz w:val="22"/>
                <w:szCs w:val="22"/>
                <w:highlight w:val="none"/>
                <w:u w:val="none"/>
                <w:lang w:val="en-US" w:eastAsia="zh-CN"/>
              </w:rPr>
            </w:pPr>
            <w:r>
              <w:rPr>
                <w:rFonts w:hint="eastAsia" w:ascii="仿宋_GB2312" w:hAnsi="仿宋_GB2312" w:eastAsia="仿宋_GB2312" w:cs="仿宋_GB2312"/>
                <w:i w:val="0"/>
                <w:strike w:val="0"/>
                <w:color w:val="000000"/>
                <w:spacing w:val="0"/>
                <w:sz w:val="22"/>
                <w:highlight w:val="none"/>
                <w:u w:val="none"/>
              </w:rPr>
              <w:t>1</w:t>
            </w:r>
          </w:p>
        </w:tc>
        <w:tc>
          <w:tcPr>
            <w:tcW w:w="620" w:type="pct"/>
            <w:noWrap w:val="0"/>
            <w:vAlign w:val="center"/>
          </w:tcPr>
          <w:p w14:paraId="5AFFC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000000"/>
                <w:kern w:val="2"/>
                <w:sz w:val="22"/>
                <w:szCs w:val="22"/>
                <w:highlight w:val="none"/>
                <w:u w:val="none"/>
              </w:rPr>
            </w:pPr>
            <w:r>
              <w:rPr>
                <w:rFonts w:hint="eastAsia" w:ascii="仿宋_GB2312" w:hAnsi="仿宋_GB2312" w:eastAsia="仿宋_GB2312" w:cs="仿宋_GB2312"/>
                <w:strike w:val="0"/>
                <w:dstrike w:val="0"/>
                <w:color w:val="auto"/>
                <w:kern w:val="0"/>
                <w:sz w:val="22"/>
                <w:szCs w:val="32"/>
                <w:lang w:val="en-US" w:eastAsia="zh-CN"/>
              </w:rPr>
              <w:t>1</w:t>
            </w:r>
          </w:p>
        </w:tc>
        <w:tc>
          <w:tcPr>
            <w:tcW w:w="484" w:type="pct"/>
            <w:noWrap w:val="0"/>
            <w:vAlign w:val="center"/>
          </w:tcPr>
          <w:p w14:paraId="57FE1D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000000"/>
                <w:kern w:val="2"/>
                <w:sz w:val="22"/>
                <w:szCs w:val="22"/>
                <w:highlight w:val="none"/>
                <w:u w:val="none"/>
              </w:rPr>
            </w:pPr>
            <w:r>
              <w:rPr>
                <w:rFonts w:hint="eastAsia" w:ascii="仿宋_GB2312" w:hAnsi="宋体" w:eastAsia="仿宋_GB2312" w:cs="宋体"/>
                <w:strike w:val="0"/>
                <w:dstrike w:val="0"/>
                <w:color w:val="auto"/>
                <w:kern w:val="0"/>
                <w:sz w:val="22"/>
                <w:szCs w:val="32"/>
              </w:rPr>
              <w:t>预期性</w:t>
            </w:r>
          </w:p>
        </w:tc>
      </w:tr>
      <w:tr w14:paraId="542E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352" w:type="pct"/>
            <w:noWrap/>
            <w:vAlign w:val="center"/>
          </w:tcPr>
          <w:p w14:paraId="3854BA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社会救助</w:t>
            </w:r>
          </w:p>
        </w:tc>
        <w:tc>
          <w:tcPr>
            <w:tcW w:w="261" w:type="pct"/>
            <w:noWrap w:val="0"/>
            <w:vAlign w:val="center"/>
          </w:tcPr>
          <w:p w14:paraId="17916F2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highlight w:val="none"/>
                <w:lang w:val="en-US" w:eastAsia="zh-CN"/>
              </w:rPr>
            </w:pPr>
            <w:r>
              <w:rPr>
                <w:rFonts w:hint="eastAsia" w:ascii="仿宋_GB2312" w:hAnsi="等线" w:eastAsia="仿宋_GB2312" w:cs="宋体"/>
                <w:color w:val="auto"/>
                <w:kern w:val="0"/>
                <w:sz w:val="22"/>
                <w:highlight w:val="none"/>
                <w:lang w:val="en-US" w:eastAsia="zh-CN"/>
              </w:rPr>
              <w:t>12</w:t>
            </w:r>
          </w:p>
        </w:tc>
        <w:tc>
          <w:tcPr>
            <w:tcW w:w="1878" w:type="pct"/>
            <w:noWrap/>
            <w:vAlign w:val="center"/>
          </w:tcPr>
          <w:p w14:paraId="3401CC71">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auto"/>
                <w:kern w:val="0"/>
                <w:sz w:val="22"/>
                <w:szCs w:val="32"/>
                <w:highlight w:val="none"/>
                <w:lang w:eastAsia="zh-CN"/>
              </w:rPr>
            </w:pPr>
            <w:r>
              <w:rPr>
                <w:rFonts w:ascii="仿宋_GB2312" w:hAnsi="仿宋_GB2312" w:eastAsia="仿宋_GB2312" w:cs="仿宋_GB2312"/>
                <w:i w:val="0"/>
                <w:strike w:val="0"/>
                <w:color w:val="000000"/>
                <w:spacing w:val="0"/>
                <w:sz w:val="22"/>
                <w:highlight w:val="none"/>
                <w:u w:val="none"/>
              </w:rPr>
              <w:t>低收入居民救助保障覆盖率</w:t>
            </w:r>
          </w:p>
        </w:tc>
        <w:tc>
          <w:tcPr>
            <w:tcW w:w="290" w:type="pct"/>
            <w:noWrap/>
            <w:vAlign w:val="center"/>
          </w:tcPr>
          <w:p w14:paraId="11E3C49A">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auto"/>
                <w:kern w:val="0"/>
                <w:sz w:val="22"/>
                <w:szCs w:val="32"/>
              </w:rPr>
            </w:pPr>
            <w:r>
              <w:rPr>
                <w:rFonts w:ascii="仿宋_GB2312" w:hAnsi="仿宋_GB2312" w:eastAsia="仿宋_GB2312" w:cs="仿宋_GB2312"/>
                <w:i w:val="0"/>
                <w:strike w:val="0"/>
                <w:color w:val="000000"/>
                <w:spacing w:val="0"/>
                <w:sz w:val="22"/>
                <w:highlight w:val="none"/>
                <w:u w:val="none"/>
              </w:rPr>
              <w:t>%</w:t>
            </w:r>
          </w:p>
        </w:tc>
        <w:tc>
          <w:tcPr>
            <w:tcW w:w="561" w:type="pct"/>
            <w:noWrap w:val="0"/>
            <w:vAlign w:val="center"/>
          </w:tcPr>
          <w:p w14:paraId="4B2EF61D">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auto"/>
                <w:kern w:val="0"/>
                <w:sz w:val="22"/>
                <w:szCs w:val="32"/>
                <w:lang w:val="en-US" w:eastAsia="zh-CN"/>
              </w:rPr>
            </w:pPr>
            <w:r>
              <w:rPr>
                <w:rFonts w:ascii="仿宋_GB2312" w:hAnsi="仿宋_GB2312" w:eastAsia="仿宋_GB2312" w:cs="仿宋_GB2312"/>
                <w:i w:val="0"/>
                <w:strike w:val="0"/>
                <w:color w:val="000000"/>
                <w:spacing w:val="0"/>
                <w:sz w:val="22"/>
                <w:highlight w:val="none"/>
                <w:u w:val="none"/>
              </w:rPr>
              <w:t>100</w:t>
            </w:r>
          </w:p>
        </w:tc>
        <w:tc>
          <w:tcPr>
            <w:tcW w:w="550" w:type="pct"/>
            <w:noWrap w:val="0"/>
            <w:vAlign w:val="center"/>
          </w:tcPr>
          <w:p w14:paraId="27660192">
            <w:pPr>
              <w:keepNext w:val="0"/>
              <w:keepLines w:val="0"/>
              <w:suppressLineNumbers w:val="0"/>
              <w:snapToGrid/>
              <w:spacing w:before="0" w:beforeAutospacing="0" w:after="0" w:afterAutospacing="0" w:line="360" w:lineRule="auto"/>
              <w:ind w:left="0" w:leftChars="0" w:right="0" w:rightChars="0"/>
              <w:jc w:val="center"/>
              <w:rPr>
                <w:rFonts w:hint="eastAsia" w:ascii="仿宋_GB2312" w:hAnsi="仿宋_GB2312" w:eastAsia="仿宋_GB2312" w:cs="仿宋_GB2312"/>
                <w:color w:val="auto"/>
                <w:kern w:val="0"/>
                <w:sz w:val="22"/>
                <w:szCs w:val="32"/>
                <w:lang w:val="en-US" w:eastAsia="zh-CN"/>
              </w:rPr>
            </w:pPr>
            <w:r>
              <w:rPr>
                <w:rFonts w:ascii="仿宋_GB2312" w:hAnsi="仿宋_GB2312" w:eastAsia="仿宋_GB2312" w:cs="仿宋_GB2312"/>
                <w:i w:val="0"/>
                <w:strike w:val="0"/>
                <w:color w:val="000000"/>
                <w:spacing w:val="0"/>
                <w:sz w:val="22"/>
                <w:highlight w:val="none"/>
                <w:u w:val="none"/>
              </w:rPr>
              <w:t>100</w:t>
            </w:r>
          </w:p>
        </w:tc>
        <w:tc>
          <w:tcPr>
            <w:tcW w:w="620" w:type="pct"/>
            <w:noWrap w:val="0"/>
            <w:vAlign w:val="center"/>
          </w:tcPr>
          <w:p w14:paraId="338045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484" w:type="pct"/>
            <w:noWrap w:val="0"/>
            <w:vAlign w:val="center"/>
          </w:tcPr>
          <w:p w14:paraId="30D38A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r>
              <w:rPr>
                <w:rFonts w:ascii="仿宋_GB2312" w:hAnsi="仿宋_GB2312" w:eastAsia="仿宋_GB2312" w:cs="仿宋_GB2312"/>
                <w:i w:val="0"/>
                <w:strike w:val="0"/>
                <w:color w:val="000000"/>
                <w:spacing w:val="0"/>
                <w:sz w:val="22"/>
                <w:highlight w:val="none"/>
                <w:u w:val="none"/>
              </w:rPr>
              <w:t>约束性</w:t>
            </w:r>
          </w:p>
        </w:tc>
      </w:tr>
      <w:tr w14:paraId="0E9B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restart"/>
            <w:noWrap/>
            <w:vAlign w:val="center"/>
          </w:tcPr>
          <w:p w14:paraId="4B67B5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儿童福利</w:t>
            </w:r>
          </w:p>
        </w:tc>
        <w:tc>
          <w:tcPr>
            <w:tcW w:w="261" w:type="pct"/>
            <w:noWrap w:val="0"/>
            <w:vAlign w:val="center"/>
          </w:tcPr>
          <w:p w14:paraId="69423F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highlight w:val="none"/>
                <w:lang w:val="en-US" w:eastAsia="zh-CN"/>
              </w:rPr>
            </w:pPr>
            <w:r>
              <w:rPr>
                <w:rFonts w:hint="eastAsia" w:ascii="仿宋_GB2312" w:hAnsi="等线" w:eastAsia="仿宋_GB2312" w:cs="宋体"/>
                <w:color w:val="auto"/>
                <w:kern w:val="0"/>
                <w:sz w:val="22"/>
                <w:highlight w:val="none"/>
                <w:lang w:val="en-US" w:eastAsia="zh-CN"/>
              </w:rPr>
              <w:t>13</w:t>
            </w:r>
          </w:p>
        </w:tc>
        <w:tc>
          <w:tcPr>
            <w:tcW w:w="1878" w:type="pct"/>
            <w:noWrap/>
            <w:vAlign w:val="center"/>
          </w:tcPr>
          <w:p w14:paraId="7EC89F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strike/>
                <w:color w:val="C00000"/>
                <w:kern w:val="0"/>
                <w:sz w:val="22"/>
                <w:szCs w:val="32"/>
                <w:highlight w:val="none"/>
                <w:lang w:eastAsia="zh-CN"/>
              </w:rPr>
            </w:pPr>
            <w:r>
              <w:rPr>
                <w:rFonts w:hint="eastAsia" w:ascii="仿宋_GB2312" w:hAnsi="仿宋_GB2312" w:eastAsia="仿宋_GB2312" w:cs="仿宋_GB2312"/>
                <w:color w:val="auto"/>
                <w:kern w:val="0"/>
                <w:sz w:val="22"/>
                <w:szCs w:val="32"/>
                <w:highlight w:val="none"/>
                <w:lang w:val="en-US" w:eastAsia="zh-CN"/>
              </w:rPr>
              <w:t>儿童督导员和儿童主任</w:t>
            </w:r>
            <w:r>
              <w:rPr>
                <w:rFonts w:hint="eastAsia" w:ascii="仿宋_GB2312" w:hAnsi="仿宋_GB2312" w:eastAsia="仿宋_GB2312" w:cs="仿宋_GB2312"/>
                <w:color w:val="auto"/>
                <w:kern w:val="0"/>
                <w:sz w:val="22"/>
                <w:szCs w:val="32"/>
                <w:highlight w:val="none"/>
                <w:lang w:eastAsia="zh-CN"/>
              </w:rPr>
              <w:t>覆盖率</w:t>
            </w:r>
          </w:p>
        </w:tc>
        <w:tc>
          <w:tcPr>
            <w:tcW w:w="290" w:type="pct"/>
            <w:noWrap/>
            <w:vAlign w:val="center"/>
          </w:tcPr>
          <w:p w14:paraId="4A7888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strike/>
                <w:color w:val="C00000"/>
                <w:kern w:val="0"/>
                <w:sz w:val="22"/>
                <w:szCs w:val="32"/>
              </w:rPr>
            </w:pPr>
            <w:r>
              <w:rPr>
                <w:rFonts w:hint="eastAsia" w:ascii="仿宋_GB2312" w:hAnsi="仿宋_GB2312" w:eastAsia="仿宋_GB2312" w:cs="仿宋_GB2312"/>
                <w:color w:val="auto"/>
                <w:kern w:val="0"/>
                <w:sz w:val="22"/>
                <w:szCs w:val="32"/>
              </w:rPr>
              <w:t>%</w:t>
            </w:r>
          </w:p>
        </w:tc>
        <w:tc>
          <w:tcPr>
            <w:tcW w:w="561" w:type="pct"/>
            <w:noWrap w:val="0"/>
            <w:vAlign w:val="center"/>
          </w:tcPr>
          <w:p w14:paraId="4CAF76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strike/>
                <w:color w:val="C00000"/>
                <w:kern w:val="0"/>
                <w:sz w:val="22"/>
                <w:szCs w:val="32"/>
                <w:lang w:val="en-US" w:eastAsia="zh-CN"/>
              </w:rPr>
            </w:pPr>
            <w:r>
              <w:rPr>
                <w:rFonts w:hint="eastAsia" w:ascii="仿宋_GB2312" w:hAnsi="仿宋_GB2312" w:eastAsia="仿宋_GB2312" w:cs="仿宋_GB2312"/>
                <w:color w:val="auto"/>
                <w:kern w:val="0"/>
                <w:sz w:val="22"/>
                <w:szCs w:val="32"/>
                <w:lang w:val="en-US" w:eastAsia="zh-CN"/>
              </w:rPr>
              <w:t>100</w:t>
            </w:r>
          </w:p>
        </w:tc>
        <w:tc>
          <w:tcPr>
            <w:tcW w:w="550" w:type="pct"/>
            <w:noWrap w:val="0"/>
            <w:vAlign w:val="center"/>
          </w:tcPr>
          <w:p w14:paraId="777CDED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strike/>
                <w:color w:val="C00000"/>
                <w:kern w:val="0"/>
                <w:sz w:val="22"/>
                <w:szCs w:val="32"/>
                <w:lang w:val="en-US" w:eastAsia="zh-CN"/>
              </w:rPr>
            </w:pPr>
            <w:r>
              <w:rPr>
                <w:rFonts w:hint="eastAsia" w:ascii="仿宋_GB2312" w:hAnsi="仿宋_GB2312" w:eastAsia="仿宋_GB2312" w:cs="仿宋_GB2312"/>
                <w:color w:val="auto"/>
                <w:kern w:val="0"/>
                <w:sz w:val="22"/>
                <w:szCs w:val="32"/>
                <w:lang w:val="en-US" w:eastAsia="zh-CN"/>
              </w:rPr>
              <w:t>100</w:t>
            </w:r>
          </w:p>
        </w:tc>
        <w:tc>
          <w:tcPr>
            <w:tcW w:w="620" w:type="pct"/>
            <w:noWrap w:val="0"/>
            <w:vAlign w:val="center"/>
          </w:tcPr>
          <w:p w14:paraId="416628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strike/>
                <w:color w:val="C00000"/>
                <w:kern w:val="0"/>
                <w:sz w:val="22"/>
                <w:szCs w:val="32"/>
              </w:rPr>
            </w:pPr>
            <w:r>
              <w:rPr>
                <w:rFonts w:hint="eastAsia" w:ascii="仿宋_GB2312" w:hAnsi="仿宋_GB2312" w:eastAsia="仿宋_GB2312" w:cs="仿宋_GB2312"/>
                <w:color w:val="auto"/>
                <w:kern w:val="0"/>
                <w:sz w:val="22"/>
                <w:szCs w:val="32"/>
                <w:lang w:val="en-US" w:eastAsia="zh-CN"/>
              </w:rPr>
              <w:t>100</w:t>
            </w:r>
          </w:p>
        </w:tc>
        <w:tc>
          <w:tcPr>
            <w:tcW w:w="484" w:type="pct"/>
            <w:noWrap w:val="0"/>
            <w:vAlign w:val="center"/>
          </w:tcPr>
          <w:p w14:paraId="04D047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strike/>
                <w:color w:val="C00000"/>
                <w:kern w:val="0"/>
                <w:sz w:val="22"/>
                <w:szCs w:val="32"/>
              </w:rPr>
            </w:pPr>
            <w:r>
              <w:rPr>
                <w:rFonts w:hint="eastAsia" w:ascii="仿宋_GB2312" w:hAnsi="宋体" w:eastAsia="仿宋_GB2312" w:cs="宋体"/>
                <w:color w:val="auto"/>
                <w:kern w:val="0"/>
                <w:sz w:val="22"/>
                <w:szCs w:val="32"/>
              </w:rPr>
              <w:t>预期性</w:t>
            </w:r>
          </w:p>
        </w:tc>
      </w:tr>
      <w:tr w14:paraId="7E4F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04503F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p>
        </w:tc>
        <w:tc>
          <w:tcPr>
            <w:tcW w:w="261" w:type="pct"/>
            <w:noWrap w:val="0"/>
            <w:vAlign w:val="center"/>
          </w:tcPr>
          <w:p w14:paraId="1C086D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14</w:t>
            </w:r>
          </w:p>
        </w:tc>
        <w:tc>
          <w:tcPr>
            <w:tcW w:w="1878" w:type="pct"/>
            <w:noWrap/>
            <w:vAlign w:val="center"/>
          </w:tcPr>
          <w:p w14:paraId="713BDC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eastAsia="zh-CN"/>
              </w:rPr>
            </w:pPr>
            <w:r>
              <w:rPr>
                <w:rFonts w:hint="eastAsia" w:ascii="仿宋_GB2312" w:hAnsi="仿宋_GB2312" w:eastAsia="仿宋_GB2312" w:cs="仿宋_GB2312"/>
                <w:color w:val="auto"/>
                <w:sz w:val="22"/>
                <w:szCs w:val="22"/>
                <w:lang w:val="en-US" w:eastAsia="zh-CN"/>
              </w:rPr>
              <w:t>儿童督导员和</w:t>
            </w:r>
            <w:r>
              <w:rPr>
                <w:rFonts w:hint="eastAsia" w:ascii="仿宋_GB2312" w:hAnsi="仿宋_GB2312" w:eastAsia="仿宋_GB2312" w:cs="仿宋_GB2312"/>
                <w:color w:val="auto"/>
                <w:kern w:val="0"/>
                <w:sz w:val="22"/>
                <w:szCs w:val="32"/>
              </w:rPr>
              <w:t>儿童主任</w:t>
            </w:r>
            <w:r>
              <w:rPr>
                <w:rFonts w:hint="eastAsia" w:ascii="仿宋_GB2312" w:hAnsi="仿宋_GB2312" w:eastAsia="仿宋_GB2312" w:cs="仿宋_GB2312"/>
                <w:color w:val="auto"/>
                <w:sz w:val="22"/>
                <w:szCs w:val="22"/>
                <w:lang w:val="en-US" w:eastAsia="zh-CN"/>
              </w:rPr>
              <w:t>培训覆盖率</w:t>
            </w:r>
          </w:p>
        </w:tc>
        <w:tc>
          <w:tcPr>
            <w:tcW w:w="290" w:type="pct"/>
            <w:noWrap/>
            <w:vAlign w:val="center"/>
          </w:tcPr>
          <w:p w14:paraId="472CC1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rPr>
            </w:pPr>
            <w:r>
              <w:rPr>
                <w:rFonts w:hint="eastAsia" w:ascii="仿宋_GB2312" w:hAnsi="仿宋_GB2312" w:eastAsia="仿宋_GB2312" w:cs="仿宋_GB2312"/>
                <w:color w:val="auto"/>
                <w:kern w:val="0"/>
                <w:sz w:val="22"/>
                <w:szCs w:val="32"/>
              </w:rPr>
              <w:t>%</w:t>
            </w:r>
          </w:p>
        </w:tc>
        <w:tc>
          <w:tcPr>
            <w:tcW w:w="561" w:type="pct"/>
            <w:noWrap w:val="0"/>
            <w:vAlign w:val="center"/>
          </w:tcPr>
          <w:p w14:paraId="398291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lang w:val="en-US" w:eastAsia="zh-CN"/>
              </w:rPr>
              <w:t>100</w:t>
            </w:r>
          </w:p>
        </w:tc>
        <w:tc>
          <w:tcPr>
            <w:tcW w:w="550" w:type="pct"/>
            <w:noWrap w:val="0"/>
            <w:vAlign w:val="center"/>
          </w:tcPr>
          <w:p w14:paraId="155431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仿宋_GB2312" w:eastAsia="仿宋_GB2312" w:cs="仿宋_GB2312"/>
                <w:color w:val="auto"/>
                <w:kern w:val="0"/>
                <w:sz w:val="22"/>
                <w:szCs w:val="32"/>
                <w:lang w:val="en-US" w:eastAsia="zh-CN"/>
              </w:rPr>
            </w:pPr>
            <w:r>
              <w:rPr>
                <w:rFonts w:hint="eastAsia" w:ascii="仿宋_GB2312" w:hAnsi="仿宋_GB2312" w:eastAsia="仿宋_GB2312" w:cs="仿宋_GB2312"/>
                <w:color w:val="auto"/>
                <w:kern w:val="0"/>
                <w:sz w:val="22"/>
                <w:szCs w:val="32"/>
                <w:lang w:val="en-US" w:eastAsia="zh-CN"/>
              </w:rPr>
              <w:t>100</w:t>
            </w:r>
          </w:p>
        </w:tc>
        <w:tc>
          <w:tcPr>
            <w:tcW w:w="620" w:type="pct"/>
            <w:noWrap w:val="0"/>
            <w:vAlign w:val="center"/>
          </w:tcPr>
          <w:p w14:paraId="3EE9CC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color w:val="auto"/>
                <w:kern w:val="0"/>
                <w:sz w:val="22"/>
                <w:szCs w:val="32"/>
              </w:rPr>
            </w:pPr>
            <w:r>
              <w:rPr>
                <w:rFonts w:hint="eastAsia" w:ascii="仿宋_GB2312" w:hAnsi="仿宋_GB2312" w:eastAsia="仿宋_GB2312" w:cs="仿宋_GB2312"/>
                <w:color w:val="auto"/>
                <w:kern w:val="0"/>
                <w:sz w:val="22"/>
                <w:szCs w:val="32"/>
                <w:lang w:val="en-US" w:eastAsia="zh-CN"/>
              </w:rPr>
              <w:t>100</w:t>
            </w:r>
          </w:p>
        </w:tc>
        <w:tc>
          <w:tcPr>
            <w:tcW w:w="484" w:type="pct"/>
            <w:noWrap w:val="0"/>
            <w:vAlign w:val="center"/>
          </w:tcPr>
          <w:p w14:paraId="2E4889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预期性</w:t>
            </w:r>
          </w:p>
        </w:tc>
      </w:tr>
      <w:tr w14:paraId="2876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restart"/>
            <w:noWrap/>
            <w:vAlign w:val="center"/>
          </w:tcPr>
          <w:p w14:paraId="38EC987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社会事务</w:t>
            </w:r>
          </w:p>
        </w:tc>
        <w:tc>
          <w:tcPr>
            <w:tcW w:w="261" w:type="pct"/>
            <w:noWrap w:val="0"/>
            <w:vAlign w:val="center"/>
          </w:tcPr>
          <w:p w14:paraId="44AD5B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15</w:t>
            </w:r>
          </w:p>
        </w:tc>
        <w:tc>
          <w:tcPr>
            <w:tcW w:w="1878" w:type="pct"/>
            <w:noWrap/>
            <w:vAlign w:val="center"/>
          </w:tcPr>
          <w:p w14:paraId="7C7751F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rPr>
              <w:t>节地生态安葬率</w:t>
            </w:r>
          </w:p>
        </w:tc>
        <w:tc>
          <w:tcPr>
            <w:tcW w:w="290" w:type="pct"/>
            <w:noWrap/>
            <w:vAlign w:val="center"/>
          </w:tcPr>
          <w:p w14:paraId="06DB49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lang w:val="en-US" w:eastAsia="zh-CN"/>
              </w:rPr>
              <w:t>%</w:t>
            </w:r>
          </w:p>
        </w:tc>
        <w:tc>
          <w:tcPr>
            <w:tcW w:w="561" w:type="pct"/>
            <w:noWrap w:val="0"/>
            <w:vAlign w:val="center"/>
          </w:tcPr>
          <w:p w14:paraId="00B1135C">
            <w:pPr>
              <w:keepNext w:val="0"/>
              <w:keepLines w:val="0"/>
              <w:suppressLineNumbers w:val="0"/>
              <w:snapToGrid/>
              <w:spacing w:before="0" w:beforeAutospacing="0" w:after="0" w:afterAutospacing="0" w:line="360" w:lineRule="auto"/>
              <w:ind w:left="0" w:leftChars="0" w:right="0" w:rightChars="0"/>
              <w:jc w:val="center"/>
              <w:rPr>
                <w:rFonts w:hint="default" w:ascii="仿宋_GB2312" w:hAnsi="宋体" w:eastAsia="仿宋_GB2312" w:cs="宋体"/>
                <w:color w:val="auto"/>
                <w:kern w:val="0"/>
                <w:sz w:val="22"/>
                <w:szCs w:val="32"/>
                <w:highlight w:val="yellow"/>
                <w:lang w:val="en-US" w:eastAsia="zh-CN"/>
              </w:rPr>
            </w:pPr>
            <w:r>
              <w:rPr>
                <w:rFonts w:ascii="仿宋_GB2312" w:hAnsi="仿宋_GB2312" w:eastAsia="仿宋_GB2312" w:cs="仿宋_GB2312"/>
                <w:i w:val="0"/>
                <w:strike w:val="0"/>
                <w:color w:val="000000"/>
                <w:spacing w:val="0"/>
                <w:sz w:val="22"/>
                <w:highlight w:val="none"/>
                <w:u w:val="none"/>
              </w:rPr>
              <w:t>100</w:t>
            </w:r>
          </w:p>
        </w:tc>
        <w:tc>
          <w:tcPr>
            <w:tcW w:w="550" w:type="pct"/>
            <w:noWrap w:val="0"/>
            <w:vAlign w:val="center"/>
          </w:tcPr>
          <w:p w14:paraId="7B802CE6">
            <w:pPr>
              <w:keepNext w:val="0"/>
              <w:keepLines w:val="0"/>
              <w:suppressLineNumbers w:val="0"/>
              <w:snapToGrid/>
              <w:spacing w:before="0" w:beforeAutospacing="0" w:after="0" w:afterAutospacing="0" w:line="360" w:lineRule="auto"/>
              <w:ind w:left="0" w:leftChars="0" w:right="0" w:rightChars="0"/>
              <w:jc w:val="center"/>
              <w:rPr>
                <w:rFonts w:hint="default" w:ascii="仿宋_GB2312" w:hAnsi="宋体" w:eastAsia="仿宋_GB2312" w:cs="宋体"/>
                <w:color w:val="auto"/>
                <w:kern w:val="0"/>
                <w:sz w:val="22"/>
                <w:szCs w:val="32"/>
                <w:highlight w:val="yellow"/>
                <w:lang w:val="en-US" w:eastAsia="zh-CN"/>
              </w:rPr>
            </w:pPr>
            <w:r>
              <w:rPr>
                <w:rFonts w:ascii="仿宋_GB2312" w:hAnsi="仿宋_GB2312" w:eastAsia="仿宋_GB2312" w:cs="仿宋_GB2312"/>
                <w:i w:val="0"/>
                <w:strike w:val="0"/>
                <w:color w:val="000000"/>
                <w:spacing w:val="0"/>
                <w:sz w:val="22"/>
                <w:highlight w:val="none"/>
                <w:u w:val="none"/>
              </w:rPr>
              <w:t>100</w:t>
            </w:r>
          </w:p>
        </w:tc>
        <w:tc>
          <w:tcPr>
            <w:tcW w:w="620" w:type="pct"/>
            <w:noWrap w:val="0"/>
            <w:vAlign w:val="center"/>
          </w:tcPr>
          <w:p w14:paraId="21DBC4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color w:val="auto"/>
                <w:kern w:val="0"/>
                <w:sz w:val="22"/>
                <w:szCs w:val="32"/>
                <w:highlight w:val="yellow"/>
                <w:lang w:val="en-US"/>
              </w:rPr>
            </w:pPr>
            <w:r>
              <w:rPr>
                <w:rFonts w:hint="eastAsia" w:ascii="仿宋_GB2312" w:hAnsi="宋体" w:eastAsia="仿宋_GB2312" w:cs="宋体"/>
                <w:color w:val="auto"/>
                <w:kern w:val="0"/>
                <w:sz w:val="22"/>
                <w:szCs w:val="32"/>
                <w:lang w:val="en-US" w:eastAsia="zh-CN"/>
              </w:rPr>
              <w:t>100</w:t>
            </w:r>
          </w:p>
        </w:tc>
        <w:tc>
          <w:tcPr>
            <w:tcW w:w="484" w:type="pct"/>
            <w:noWrap w:val="0"/>
            <w:vAlign w:val="center"/>
          </w:tcPr>
          <w:p w14:paraId="60D44D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ascii="仿宋_GB2312" w:hAnsi="宋体" w:eastAsia="仿宋_GB2312" w:cs="宋体"/>
                <w:color w:val="auto"/>
                <w:kern w:val="0"/>
                <w:sz w:val="22"/>
                <w:szCs w:val="32"/>
              </w:rPr>
            </w:pPr>
            <w:r>
              <w:rPr>
                <w:rFonts w:hint="eastAsia" w:ascii="仿宋_GB2312" w:hAnsi="宋体" w:eastAsia="仿宋_GB2312" w:cs="宋体"/>
                <w:color w:val="auto"/>
                <w:kern w:val="0"/>
                <w:sz w:val="22"/>
                <w:szCs w:val="32"/>
                <w:lang w:eastAsia="zh-CN"/>
              </w:rPr>
              <w:t>预期性</w:t>
            </w:r>
          </w:p>
        </w:tc>
      </w:tr>
      <w:tr w14:paraId="53EB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437AA5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p>
        </w:tc>
        <w:tc>
          <w:tcPr>
            <w:tcW w:w="261" w:type="pct"/>
            <w:noWrap w:val="0"/>
            <w:vAlign w:val="center"/>
          </w:tcPr>
          <w:p w14:paraId="247099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16</w:t>
            </w:r>
          </w:p>
        </w:tc>
        <w:tc>
          <w:tcPr>
            <w:tcW w:w="1878" w:type="pct"/>
            <w:noWrap/>
            <w:vAlign w:val="center"/>
          </w:tcPr>
          <w:p w14:paraId="4659DA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r>
              <w:rPr>
                <w:rFonts w:ascii="仿宋_GB2312" w:hAnsi="宋体" w:eastAsia="仿宋_GB2312" w:cs="宋体"/>
                <w:color w:val="auto"/>
                <w:kern w:val="0"/>
                <w:sz w:val="22"/>
                <w:szCs w:val="32"/>
              </w:rPr>
              <w:t>困难残疾人生活补贴覆盖率</w:t>
            </w:r>
          </w:p>
        </w:tc>
        <w:tc>
          <w:tcPr>
            <w:tcW w:w="290" w:type="pct"/>
            <w:noWrap/>
            <w:vAlign w:val="center"/>
          </w:tcPr>
          <w:p w14:paraId="7E4F2B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ascii="仿宋_GB2312" w:hAnsi="宋体" w:eastAsia="仿宋_GB2312" w:cs="宋体"/>
                <w:color w:val="auto"/>
                <w:kern w:val="0"/>
                <w:sz w:val="22"/>
                <w:szCs w:val="32"/>
              </w:rPr>
              <w:t>%</w:t>
            </w:r>
          </w:p>
        </w:tc>
        <w:tc>
          <w:tcPr>
            <w:tcW w:w="561" w:type="pct"/>
            <w:noWrap w:val="0"/>
            <w:vAlign w:val="center"/>
          </w:tcPr>
          <w:p w14:paraId="1E01CC3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550" w:type="pct"/>
            <w:noWrap w:val="0"/>
            <w:vAlign w:val="center"/>
          </w:tcPr>
          <w:p w14:paraId="287716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620" w:type="pct"/>
            <w:noWrap w:val="0"/>
            <w:vAlign w:val="center"/>
          </w:tcPr>
          <w:p w14:paraId="6D24FCD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484" w:type="pct"/>
            <w:noWrap w:val="0"/>
            <w:vAlign w:val="center"/>
          </w:tcPr>
          <w:p w14:paraId="65337A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eastAsia="zh-CN"/>
              </w:rPr>
            </w:pPr>
            <w:r>
              <w:rPr>
                <w:rFonts w:ascii="仿宋_GB2312" w:hAnsi="宋体" w:eastAsia="仿宋_GB2312" w:cs="宋体"/>
                <w:color w:val="auto"/>
                <w:kern w:val="0"/>
                <w:sz w:val="22"/>
                <w:szCs w:val="32"/>
              </w:rPr>
              <w:t>约束性</w:t>
            </w:r>
          </w:p>
        </w:tc>
      </w:tr>
      <w:tr w14:paraId="20E5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vMerge w:val="continue"/>
            <w:noWrap/>
            <w:vAlign w:val="center"/>
          </w:tcPr>
          <w:p w14:paraId="4B2D51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p>
        </w:tc>
        <w:tc>
          <w:tcPr>
            <w:tcW w:w="261" w:type="pct"/>
            <w:noWrap w:val="0"/>
            <w:vAlign w:val="center"/>
          </w:tcPr>
          <w:p w14:paraId="2423FC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17</w:t>
            </w:r>
          </w:p>
        </w:tc>
        <w:tc>
          <w:tcPr>
            <w:tcW w:w="1878" w:type="pct"/>
            <w:noWrap/>
            <w:vAlign w:val="center"/>
          </w:tcPr>
          <w:p w14:paraId="10E623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rPr>
            </w:pPr>
            <w:r>
              <w:rPr>
                <w:rFonts w:ascii="仿宋_GB2312" w:hAnsi="宋体" w:eastAsia="仿宋_GB2312" w:cs="宋体"/>
                <w:color w:val="auto"/>
                <w:kern w:val="0"/>
                <w:sz w:val="22"/>
                <w:szCs w:val="32"/>
              </w:rPr>
              <w:t>重度残疾人护理补贴覆盖率</w:t>
            </w:r>
          </w:p>
        </w:tc>
        <w:tc>
          <w:tcPr>
            <w:tcW w:w="290" w:type="pct"/>
            <w:noWrap/>
            <w:vAlign w:val="center"/>
          </w:tcPr>
          <w:p w14:paraId="443883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ascii="仿宋_GB2312" w:hAnsi="宋体" w:eastAsia="仿宋_GB2312" w:cs="宋体"/>
                <w:color w:val="auto"/>
                <w:kern w:val="0"/>
                <w:sz w:val="22"/>
                <w:szCs w:val="32"/>
              </w:rPr>
              <w:t>%</w:t>
            </w:r>
          </w:p>
        </w:tc>
        <w:tc>
          <w:tcPr>
            <w:tcW w:w="561" w:type="pct"/>
            <w:noWrap w:val="0"/>
            <w:vAlign w:val="center"/>
          </w:tcPr>
          <w:p w14:paraId="7604A2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550" w:type="pct"/>
            <w:noWrap w:val="0"/>
            <w:vAlign w:val="center"/>
          </w:tcPr>
          <w:p w14:paraId="1E23C3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620" w:type="pct"/>
            <w:noWrap w:val="0"/>
            <w:vAlign w:val="center"/>
          </w:tcPr>
          <w:p w14:paraId="702292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val="en-US" w:eastAsia="zh-CN"/>
              </w:rPr>
            </w:pPr>
            <w:r>
              <w:rPr>
                <w:rFonts w:hint="eastAsia" w:ascii="仿宋_GB2312" w:hAnsi="宋体" w:eastAsia="仿宋_GB2312" w:cs="宋体"/>
                <w:color w:val="auto"/>
                <w:kern w:val="0"/>
                <w:sz w:val="22"/>
                <w:szCs w:val="32"/>
                <w:lang w:val="en-US" w:eastAsia="zh-CN"/>
              </w:rPr>
              <w:t>100</w:t>
            </w:r>
          </w:p>
        </w:tc>
        <w:tc>
          <w:tcPr>
            <w:tcW w:w="484" w:type="pct"/>
            <w:noWrap w:val="0"/>
            <w:vAlign w:val="center"/>
          </w:tcPr>
          <w:p w14:paraId="15000E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仿宋_GB2312" w:hAnsi="宋体" w:eastAsia="仿宋_GB2312" w:cs="宋体"/>
                <w:color w:val="auto"/>
                <w:kern w:val="0"/>
                <w:sz w:val="22"/>
                <w:szCs w:val="32"/>
                <w:lang w:eastAsia="zh-CN"/>
              </w:rPr>
            </w:pPr>
            <w:r>
              <w:rPr>
                <w:rFonts w:ascii="仿宋_GB2312" w:hAnsi="宋体" w:eastAsia="仿宋_GB2312" w:cs="宋体"/>
                <w:color w:val="auto"/>
                <w:kern w:val="0"/>
                <w:sz w:val="22"/>
                <w:szCs w:val="32"/>
              </w:rPr>
              <w:t>约束性</w:t>
            </w:r>
          </w:p>
        </w:tc>
      </w:tr>
      <w:tr w14:paraId="430C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52" w:type="pct"/>
            <w:noWrap/>
            <w:vAlign w:val="center"/>
          </w:tcPr>
          <w:p w14:paraId="3B93D4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宋体" w:eastAsia="仿宋_GB2312" w:cs="宋体"/>
                <w:color w:val="auto"/>
                <w:kern w:val="0"/>
                <w:sz w:val="22"/>
                <w:szCs w:val="32"/>
                <w:lang w:val="en-US"/>
              </w:rPr>
            </w:pPr>
            <w:r>
              <w:rPr>
                <w:rFonts w:hint="eastAsia" w:ascii="仿宋_GB2312" w:hAnsi="宋体" w:eastAsia="仿宋_GB2312" w:cs="宋体"/>
                <w:color w:val="auto"/>
                <w:kern w:val="0"/>
                <w:sz w:val="22"/>
                <w:szCs w:val="32"/>
                <w:lang w:val="en-US" w:eastAsia="zh-CN"/>
              </w:rPr>
              <w:t>社区治理</w:t>
            </w:r>
          </w:p>
        </w:tc>
        <w:tc>
          <w:tcPr>
            <w:tcW w:w="261" w:type="pct"/>
            <w:noWrap w:val="0"/>
            <w:vAlign w:val="center"/>
          </w:tcPr>
          <w:p w14:paraId="046F20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仿宋_GB2312" w:hAnsi="等线" w:eastAsia="仿宋_GB2312" w:cs="宋体"/>
                <w:color w:val="auto"/>
                <w:kern w:val="0"/>
                <w:sz w:val="22"/>
                <w:lang w:val="en-US" w:eastAsia="zh-CN"/>
              </w:rPr>
            </w:pPr>
            <w:r>
              <w:rPr>
                <w:rFonts w:hint="eastAsia" w:ascii="仿宋_GB2312" w:hAnsi="等线" w:eastAsia="仿宋_GB2312" w:cs="宋体"/>
                <w:color w:val="auto"/>
                <w:kern w:val="0"/>
                <w:sz w:val="22"/>
                <w:lang w:val="en-US" w:eastAsia="zh-CN"/>
              </w:rPr>
              <w:t>18</w:t>
            </w:r>
          </w:p>
        </w:tc>
        <w:tc>
          <w:tcPr>
            <w:tcW w:w="1878" w:type="pct"/>
            <w:noWrap/>
            <w:vAlign w:val="center"/>
          </w:tcPr>
          <w:p w14:paraId="7C8F78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strike/>
                <w:color w:val="C00000"/>
                <w:kern w:val="0"/>
                <w:sz w:val="22"/>
                <w:szCs w:val="32"/>
              </w:rPr>
            </w:pPr>
            <w:r>
              <w:rPr>
                <w:rFonts w:hint="eastAsia" w:ascii="仿宋_GB2312" w:hAnsi="宋体" w:eastAsia="仿宋_GB2312" w:cs="宋体"/>
                <w:color w:val="auto"/>
                <w:kern w:val="0"/>
                <w:sz w:val="22"/>
                <w:szCs w:val="32"/>
              </w:rPr>
              <w:t>3A以上社会组织数量</w:t>
            </w:r>
          </w:p>
        </w:tc>
        <w:tc>
          <w:tcPr>
            <w:tcW w:w="290" w:type="pct"/>
            <w:noWrap/>
            <w:vAlign w:val="center"/>
          </w:tcPr>
          <w:p w14:paraId="7D6FCA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ascii="仿宋_GB2312" w:hAnsi="宋体" w:eastAsia="仿宋_GB2312" w:cs="宋体"/>
                <w:strike/>
                <w:color w:val="C00000"/>
                <w:kern w:val="0"/>
                <w:sz w:val="22"/>
                <w:szCs w:val="32"/>
              </w:rPr>
            </w:pPr>
            <w:r>
              <w:rPr>
                <w:rFonts w:hint="eastAsia" w:ascii="仿宋_GB2312" w:hAnsi="宋体" w:eastAsia="仿宋_GB2312" w:cs="宋体"/>
                <w:color w:val="auto"/>
                <w:kern w:val="0"/>
                <w:sz w:val="22"/>
                <w:szCs w:val="32"/>
              </w:rPr>
              <w:t>家</w:t>
            </w:r>
          </w:p>
        </w:tc>
        <w:tc>
          <w:tcPr>
            <w:tcW w:w="561" w:type="pct"/>
            <w:noWrap w:val="0"/>
            <w:vAlign w:val="center"/>
          </w:tcPr>
          <w:p w14:paraId="764AE9D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strike/>
                <w:color w:val="C00000"/>
                <w:kern w:val="0"/>
                <w:sz w:val="22"/>
                <w:szCs w:val="32"/>
                <w:lang w:val="en-US" w:eastAsia="zh-CN"/>
              </w:rPr>
            </w:pPr>
            <w:r>
              <w:rPr>
                <w:rFonts w:hint="eastAsia" w:ascii="仿宋_GB2312" w:hAnsi="宋体" w:eastAsia="仿宋_GB2312" w:cs="宋体"/>
                <w:color w:val="auto"/>
                <w:kern w:val="0"/>
                <w:sz w:val="22"/>
                <w:szCs w:val="32"/>
                <w:lang w:val="en-US" w:eastAsia="zh-CN"/>
              </w:rPr>
              <w:t>45</w:t>
            </w:r>
          </w:p>
        </w:tc>
        <w:tc>
          <w:tcPr>
            <w:tcW w:w="550" w:type="pct"/>
            <w:noWrap w:val="0"/>
            <w:vAlign w:val="center"/>
          </w:tcPr>
          <w:p w14:paraId="58962B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仿宋_GB2312" w:hAnsi="宋体" w:eastAsia="仿宋_GB2312" w:cs="宋体"/>
                <w:strike/>
                <w:color w:val="C00000"/>
                <w:kern w:val="0"/>
                <w:sz w:val="22"/>
                <w:szCs w:val="32"/>
                <w:lang w:val="en-US" w:eastAsia="zh-CN"/>
              </w:rPr>
            </w:pPr>
            <w:r>
              <w:rPr>
                <w:rFonts w:hint="eastAsia" w:ascii="仿宋_GB2312" w:hAnsi="宋体" w:eastAsia="仿宋_GB2312" w:cs="宋体"/>
                <w:color w:val="auto"/>
                <w:kern w:val="0"/>
                <w:sz w:val="22"/>
                <w:szCs w:val="32"/>
                <w:lang w:val="en-US" w:eastAsia="zh-CN"/>
              </w:rPr>
              <w:t>60</w:t>
            </w:r>
          </w:p>
        </w:tc>
        <w:tc>
          <w:tcPr>
            <w:tcW w:w="620" w:type="pct"/>
            <w:noWrap w:val="0"/>
            <w:vAlign w:val="center"/>
          </w:tcPr>
          <w:p w14:paraId="6DF7B0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仿宋_GB2312" w:hAnsi="宋体" w:eastAsia="仿宋_GB2312" w:cs="宋体"/>
                <w:strike/>
                <w:color w:val="C00000"/>
                <w:kern w:val="0"/>
                <w:sz w:val="22"/>
                <w:szCs w:val="32"/>
              </w:rPr>
            </w:pPr>
            <w:r>
              <w:rPr>
                <w:rFonts w:hint="eastAsia" w:ascii="仿宋_GB2312" w:hAnsi="宋体" w:eastAsia="仿宋_GB2312" w:cs="宋体"/>
                <w:color w:val="auto"/>
                <w:kern w:val="0"/>
                <w:sz w:val="22"/>
                <w:szCs w:val="32"/>
                <w:lang w:val="en-US" w:eastAsia="zh-CN"/>
              </w:rPr>
              <w:t>65</w:t>
            </w:r>
          </w:p>
        </w:tc>
        <w:tc>
          <w:tcPr>
            <w:tcW w:w="484" w:type="pct"/>
            <w:noWrap w:val="0"/>
            <w:vAlign w:val="center"/>
          </w:tcPr>
          <w:p w14:paraId="2FC5F4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strike/>
                <w:color w:val="C00000"/>
                <w:sz w:val="22"/>
              </w:rPr>
            </w:pPr>
            <w:r>
              <w:rPr>
                <w:rFonts w:hint="eastAsia" w:ascii="仿宋_GB2312" w:hAnsi="宋体" w:eastAsia="仿宋_GB2312" w:cs="宋体"/>
                <w:color w:val="auto"/>
                <w:kern w:val="0"/>
                <w:sz w:val="22"/>
                <w:szCs w:val="32"/>
              </w:rPr>
              <w:t>预期性</w:t>
            </w:r>
          </w:p>
        </w:tc>
      </w:tr>
    </w:tbl>
    <w:p w14:paraId="5136451D">
      <w:pPr>
        <w:keepNext w:val="0"/>
        <w:keepLines w:val="0"/>
        <w:pageBreakBefore w:val="0"/>
        <w:widowControl w:val="0"/>
        <w:kinsoku/>
        <w:wordWrap/>
        <w:overflowPunct/>
        <w:topLinePunct w:val="0"/>
        <w:autoSpaceDE/>
        <w:autoSpaceDN/>
        <w:bidi w:val="0"/>
        <w:adjustRightInd/>
        <w:snapToGrid/>
        <w:spacing w:before="0" w:line="360" w:lineRule="auto"/>
        <w:ind w:left="0" w:right="0"/>
        <w:jc w:val="both"/>
        <w:textAlignment w:val="auto"/>
        <w:rPr>
          <w:rFonts w:ascii="黑体" w:hAnsi="黑体" w:eastAsia="黑体" w:cs="黑体"/>
          <w:i w:val="0"/>
          <w:strike w:val="0"/>
          <w:color w:val="000000"/>
          <w:sz w:val="32"/>
          <w:highlight w:val="none"/>
          <w:u w:val="none"/>
        </w:rPr>
      </w:pPr>
    </w:p>
    <w:bookmarkEnd w:id="40"/>
    <w:bookmarkEnd w:id="41"/>
    <w:bookmarkEnd w:id="42"/>
    <w:bookmarkEnd w:id="43"/>
    <w:p w14:paraId="2657D826">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color w:val="000000"/>
          <w:sz w:val="32"/>
          <w:szCs w:val="32"/>
          <w:highlight w:val="none"/>
        </w:rPr>
      </w:pPr>
      <w:bookmarkStart w:id="63" w:name="_Toc17169"/>
      <w:bookmarkStart w:id="64" w:name="_Toc10433"/>
      <w:r>
        <w:rPr>
          <w:rFonts w:ascii="黑体" w:hAnsi="黑体" w:eastAsia="黑体" w:cs="黑体"/>
          <w:i w:val="0"/>
          <w:strike w:val="0"/>
          <w:color w:val="000000"/>
          <w:spacing w:val="0"/>
          <w:sz w:val="32"/>
          <w:szCs w:val="32"/>
          <w:highlight w:val="none"/>
          <w:u w:val="none"/>
        </w:rPr>
        <w:t>第三章 主要任务</w:t>
      </w:r>
      <w:bookmarkEnd w:id="63"/>
      <w:bookmarkEnd w:id="64"/>
    </w:p>
    <w:p w14:paraId="0A53952F">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i w:val="0"/>
          <w:strike w:val="0"/>
          <w:color w:val="000000"/>
          <w:spacing w:val="0"/>
          <w:sz w:val="32"/>
          <w:highlight w:val="none"/>
          <w:u w:val="none"/>
        </w:rPr>
      </w:pPr>
      <w:bookmarkStart w:id="65" w:name="_Toc18294"/>
      <w:bookmarkStart w:id="66" w:name="_Toc27483"/>
      <w:bookmarkStart w:id="67" w:name="_Toc7659"/>
      <w:r>
        <w:rPr>
          <w:rFonts w:hint="eastAsia" w:ascii="黑体" w:hAnsi="黑体" w:eastAsia="黑体" w:cs="黑体"/>
          <w:i w:val="0"/>
          <w:strike w:val="0"/>
          <w:color w:val="000000"/>
          <w:spacing w:val="0"/>
          <w:sz w:val="32"/>
          <w:highlight w:val="none"/>
          <w:u w:val="none"/>
          <w:lang w:val="en-US" w:eastAsia="zh-CN"/>
        </w:rPr>
        <w:t>一、</w:t>
      </w:r>
      <w:bookmarkEnd w:id="65"/>
      <w:r>
        <w:rPr>
          <w:rFonts w:hint="eastAsia" w:ascii="黑体" w:hAnsi="黑体" w:eastAsia="黑体" w:cs="黑体"/>
          <w:i w:val="0"/>
          <w:strike w:val="0"/>
          <w:color w:val="000000"/>
          <w:spacing w:val="0"/>
          <w:sz w:val="32"/>
          <w:highlight w:val="none"/>
          <w:u w:val="none"/>
          <w:lang w:val="en-US" w:eastAsia="zh-CN"/>
        </w:rPr>
        <w:t>推动老龄事业与银发产业协同发展</w:t>
      </w:r>
      <w:bookmarkEnd w:id="66"/>
    </w:p>
    <w:p w14:paraId="1FFDB92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i w:val="0"/>
          <w:strike w:val="0"/>
          <w:color w:val="000000"/>
          <w:sz w:val="32"/>
          <w:highlight w:val="none"/>
          <w:u w:val="none"/>
        </w:rPr>
        <w:t>“十五五”时期，宝安区将以积极应对人口老龄化国家战略为主线，坚持养老事业与银发经济双轮驱动，统筹推进制度体系、服务体系与产业体系协同发展，构建与超大型城区人口结构相适应的现代老龄工作体系。坚持有为政府、有效市场、有情社会、有爱家庭协同发力，推动养老服务从“基本保障型”向“品质发展型”跃升，推动银发经济从“要素驱动”向“创新驱动”转型，着力打造具有湾区影响力的老龄事业与银发产业融合发展示范区。</w:t>
      </w:r>
    </w:p>
    <w:p w14:paraId="2D1BE752">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68" w:name="_Toc6177"/>
      <w:bookmarkStart w:id="69" w:name="_Toc30528"/>
      <w:r>
        <w:rPr>
          <w:rFonts w:ascii="楷体_GB2312" w:hAnsi="楷体_GB2312" w:eastAsia="楷体_GB2312" w:cs="楷体_GB2312"/>
          <w:i w:val="0"/>
          <w:strike w:val="0"/>
          <w:color w:val="000000"/>
          <w:spacing w:val="0"/>
          <w:sz w:val="32"/>
          <w:highlight w:val="none"/>
          <w:u w:val="none"/>
        </w:rPr>
        <w:t>（一）</w:t>
      </w:r>
      <w:bookmarkEnd w:id="68"/>
      <w:r>
        <w:rPr>
          <w:rFonts w:hint="eastAsia" w:ascii="楷体_GB2312" w:hAnsi="楷体_GB2312" w:eastAsia="楷体_GB2312" w:cs="楷体_GB2312"/>
          <w:i w:val="0"/>
          <w:strike w:val="0"/>
          <w:color w:val="000000"/>
          <w:spacing w:val="0"/>
          <w:sz w:val="32"/>
          <w:highlight w:val="none"/>
          <w:u w:val="none"/>
        </w:rPr>
        <w:t>完善老龄工作体制机制</w:t>
      </w:r>
      <w:bookmarkEnd w:id="69"/>
    </w:p>
    <w:p w14:paraId="6429EEC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i w:val="0"/>
          <w:strike w:val="0"/>
          <w:color w:val="000000"/>
          <w:sz w:val="32"/>
          <w:highlight w:val="none"/>
          <w:u w:val="none"/>
        </w:rPr>
        <w:t>深入实施积极应对人口老龄化国家战略，进一步完善</w:t>
      </w:r>
      <w:r>
        <w:rPr>
          <w:rFonts w:hint="eastAsia" w:ascii="仿宋_GB2312" w:hAnsi="仿宋_GB2312" w:eastAsia="仿宋_GB2312" w:cs="仿宋_GB2312"/>
          <w:i w:val="0"/>
          <w:strike w:val="0"/>
          <w:color w:val="000000"/>
          <w:sz w:val="32"/>
          <w:highlight w:val="none"/>
          <w:u w:val="none"/>
          <w:lang w:val="en-US" w:eastAsia="zh-CN"/>
        </w:rPr>
        <w:t>宝安区老龄工作委员会</w:t>
      </w:r>
      <w:r>
        <w:rPr>
          <w:rFonts w:ascii="仿宋_GB2312" w:hAnsi="仿宋_GB2312" w:eastAsia="仿宋_GB2312" w:cs="仿宋_GB2312"/>
          <w:i w:val="0"/>
          <w:strike w:val="0"/>
          <w:color w:val="000000"/>
          <w:sz w:val="32"/>
          <w:highlight w:val="none"/>
          <w:u w:val="none"/>
        </w:rPr>
        <w:t>工作体系和制度规则，充分发挥区老龄委议事协调、组织推进、督促指导、考核评价职能，明确区老龄委老龄事业统筹抓总、老龄产业牵头抓总的发展定位。</w:t>
      </w:r>
      <w:r>
        <w:rPr>
          <w:rFonts w:hint="default" w:ascii="仿宋_GB2312" w:hAnsi="仿宋_GB2312" w:eastAsia="仿宋_GB2312" w:cs="仿宋_GB2312"/>
          <w:b/>
          <w:bCs/>
          <w:i w:val="0"/>
          <w:strike w:val="0"/>
          <w:color w:val="000000"/>
          <w:sz w:val="32"/>
          <w:highlight w:val="none"/>
          <w:u w:val="none"/>
        </w:rPr>
        <w:t>强化横向协同。</w:t>
      </w:r>
      <w:r>
        <w:rPr>
          <w:rFonts w:hint="default" w:ascii="仿宋_GB2312" w:hAnsi="仿宋_GB2312" w:eastAsia="仿宋_GB2312" w:cs="仿宋_GB2312"/>
          <w:i w:val="0"/>
          <w:strike w:val="0"/>
          <w:color w:val="000000"/>
          <w:sz w:val="32"/>
          <w:highlight w:val="none"/>
          <w:u w:val="none"/>
        </w:rPr>
        <w:t>聚焦医养结合、长护险实施、产业培育、权益保障等重点目标任务，以及数据统计、空间规划、财政支持等重大工作事项，加强与区老龄委成员单位的协同联动，形成工作合力</w:t>
      </w:r>
      <w:r>
        <w:rPr>
          <w:rFonts w:hint="eastAsia" w:ascii="仿宋_GB2312" w:hAnsi="仿宋_GB2312" w:eastAsia="仿宋_GB2312" w:cs="仿宋_GB2312"/>
          <w:i w:val="0"/>
          <w:strike w:val="0"/>
          <w:color w:val="000000"/>
          <w:sz w:val="32"/>
          <w:highlight w:val="none"/>
          <w:u w:val="none"/>
          <w:lang w:eastAsia="zh-CN"/>
        </w:rPr>
        <w:t>。</w:t>
      </w:r>
      <w:r>
        <w:rPr>
          <w:rFonts w:hint="default" w:ascii="仿宋_GB2312" w:hAnsi="仿宋_GB2312" w:eastAsia="仿宋_GB2312" w:cs="仿宋_GB2312"/>
          <w:b/>
          <w:bCs/>
          <w:i w:val="0"/>
          <w:strike w:val="0"/>
          <w:color w:val="000000"/>
          <w:sz w:val="32"/>
          <w:highlight w:val="none"/>
          <w:u w:val="none"/>
        </w:rPr>
        <w:t>强化纵向协同。</w:t>
      </w:r>
      <w:r>
        <w:rPr>
          <w:rFonts w:hint="default" w:ascii="仿宋_GB2312" w:hAnsi="仿宋_GB2312" w:eastAsia="仿宋_GB2312" w:cs="仿宋_GB2312"/>
          <w:i w:val="0"/>
          <w:strike w:val="0"/>
          <w:color w:val="000000"/>
          <w:sz w:val="32"/>
          <w:highlight w:val="none"/>
          <w:u w:val="none"/>
        </w:rPr>
        <w:t>围绕老年友好型社会建设、敬老月活动、养老消费提升等专项工作，会同区老龄委成员单位及各街道，推动业务深入开展</w:t>
      </w:r>
      <w:r>
        <w:rPr>
          <w:rFonts w:hint="eastAsia" w:ascii="仿宋_GB2312" w:hAnsi="仿宋_GB2312" w:eastAsia="仿宋_GB2312" w:cs="仿宋_GB2312"/>
          <w:i w:val="0"/>
          <w:strike w:val="0"/>
          <w:color w:val="000000"/>
          <w:sz w:val="32"/>
          <w:highlight w:val="none"/>
          <w:u w:val="none"/>
          <w:lang w:eastAsia="zh-CN"/>
        </w:rPr>
        <w:t>。</w:t>
      </w:r>
      <w:r>
        <w:rPr>
          <w:rFonts w:hint="default" w:ascii="仿宋_GB2312" w:hAnsi="仿宋_GB2312" w:eastAsia="仿宋_GB2312" w:cs="仿宋_GB2312"/>
          <w:b/>
          <w:bCs/>
          <w:i w:val="0"/>
          <w:strike w:val="0"/>
          <w:color w:val="000000"/>
          <w:sz w:val="32"/>
          <w:highlight w:val="none"/>
          <w:u w:val="none"/>
        </w:rPr>
        <w:t>夯实制度基础。</w:t>
      </w:r>
      <w:r>
        <w:rPr>
          <w:rFonts w:hint="default" w:ascii="仿宋_GB2312" w:hAnsi="仿宋_GB2312" w:eastAsia="仿宋_GB2312" w:cs="仿宋_GB2312"/>
          <w:i w:val="0"/>
          <w:strike w:val="0"/>
          <w:color w:val="000000"/>
          <w:sz w:val="32"/>
          <w:highlight w:val="none"/>
          <w:u w:val="none"/>
        </w:rPr>
        <w:t>健全区老龄委工作制度和议事规则，强化督查考核与信息共享，确保各项老龄工作任务有序推进、取得实效。</w:t>
      </w:r>
    </w:p>
    <w:p w14:paraId="37232941">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rFonts w:ascii="楷体_GB2312" w:hAnsi="楷体_GB2312" w:eastAsia="楷体_GB2312" w:cs="楷体_GB2312"/>
          <w:i w:val="0"/>
          <w:strike w:val="0"/>
          <w:color w:val="000000"/>
          <w:spacing w:val="0"/>
          <w:sz w:val="32"/>
          <w:highlight w:val="none"/>
          <w:u w:val="none"/>
        </w:rPr>
      </w:pPr>
      <w:bookmarkStart w:id="70" w:name="_Toc5669"/>
      <w:bookmarkStart w:id="71" w:name="_Toc4785"/>
      <w:r>
        <w:rPr>
          <w:rFonts w:ascii="楷体_GB2312" w:hAnsi="楷体_GB2312" w:eastAsia="楷体_GB2312" w:cs="楷体_GB2312"/>
          <w:i w:val="0"/>
          <w:strike w:val="0"/>
          <w:color w:val="000000"/>
          <w:spacing w:val="0"/>
          <w:sz w:val="32"/>
          <w:highlight w:val="none"/>
          <w:u w:val="none"/>
        </w:rPr>
        <w:t>（二）</w:t>
      </w:r>
      <w:r>
        <w:rPr>
          <w:rFonts w:ascii="楷体_GB2312" w:hAnsi="楷体_GB2312" w:eastAsia="楷体_GB2312" w:cs="楷体_GB2312"/>
          <w:i w:val="0"/>
          <w:strike w:val="0"/>
          <w:color w:val="000000"/>
          <w:spacing w:val="0"/>
          <w:sz w:val="32"/>
          <w:highlight w:val="none"/>
          <w:u w:val="none"/>
          <w:lang w:val="en-US" w:eastAsia="zh-CN"/>
        </w:rPr>
        <w:t>健全养老服务体系</w:t>
      </w:r>
      <w:bookmarkEnd w:id="70"/>
    </w:p>
    <w:bookmarkEnd w:id="71"/>
    <w:p w14:paraId="4079FED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z w:val="32"/>
          <w:highlight w:val="none"/>
          <w:u w:val="none"/>
        </w:rPr>
        <w:t>加快完善街道、社区、小区、家庭全覆盖的四级养老服务网络，健全科技引领、分级分类、普惠可及、持续发展的养老服务体系，率先实现全体老年人享有优质共享的基本养老服务，加快建成“老有颐养”的城区范例。</w:t>
      </w:r>
    </w:p>
    <w:p w14:paraId="004A1E09">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i w:val="0"/>
          <w:strike w:val="0"/>
          <w:color w:val="000000"/>
          <w:sz w:val="32"/>
          <w:highlight w:val="none"/>
          <w:u w:val="none"/>
        </w:rPr>
        <w:t>健全养老服务政策制度。</w:t>
      </w:r>
      <w:r>
        <w:rPr>
          <w:rFonts w:ascii="仿宋_GB2312" w:hAnsi="仿宋_GB2312" w:eastAsia="仿宋_GB2312" w:cs="仿宋_GB2312"/>
          <w:i w:val="0"/>
          <w:strike w:val="0"/>
          <w:color w:val="000000"/>
          <w:sz w:val="32"/>
          <w:highlight w:val="none"/>
          <w:u w:val="none"/>
        </w:rPr>
        <w:t>发挥政府主导作用，聚焦以失能老年人照护为重点的基本养老服务制度，落实长者助餐</w:t>
      </w:r>
      <w:r>
        <w:rPr>
          <w:rFonts w:hint="eastAsia" w:ascii="仿宋_GB2312" w:hAnsi="仿宋_GB2312" w:eastAsia="仿宋_GB2312" w:cs="仿宋_GB2312"/>
          <w:i w:val="0"/>
          <w:strike w:val="0"/>
          <w:color w:val="000000"/>
          <w:sz w:val="32"/>
          <w:highlight w:val="none"/>
          <w:u w:val="none"/>
          <w:lang w:eastAsia="zh-CN"/>
        </w:rPr>
        <w:t>、</w:t>
      </w:r>
      <w:r>
        <w:rPr>
          <w:rFonts w:ascii="仿宋_GB2312" w:hAnsi="仿宋_GB2312" w:eastAsia="仿宋_GB2312" w:cs="仿宋_GB2312"/>
          <w:i w:val="0"/>
          <w:strike w:val="0"/>
          <w:color w:val="000000"/>
          <w:sz w:val="32"/>
          <w:highlight w:val="none"/>
          <w:u w:val="none"/>
        </w:rPr>
        <w:t>预付费监管等政策；研究制定培育养老服务市场经营主体的配套措施，扩大普惠性、基础性、兜底性养老服务供给。</w:t>
      </w:r>
    </w:p>
    <w:p w14:paraId="23E09A67">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auto"/>
          <w:sz w:val="32"/>
          <w:highlight w:val="none"/>
          <w:u w:val="none"/>
        </w:rPr>
      </w:pPr>
      <w:r>
        <w:rPr>
          <w:rFonts w:hint="eastAsia" w:ascii="仿宋_GB2312" w:hAnsi="仿宋_GB2312" w:eastAsia="仿宋_GB2312" w:cs="仿宋_GB2312"/>
          <w:b/>
          <w:bCs/>
          <w:i w:val="0"/>
          <w:strike w:val="0"/>
          <w:color w:val="000000"/>
          <w:sz w:val="32"/>
          <w:highlight w:val="none"/>
          <w:u w:val="none"/>
          <w:lang w:val="en-US" w:eastAsia="zh-CN"/>
        </w:rPr>
        <w:t>优化养老服务设施布局</w:t>
      </w:r>
      <w:r>
        <w:rPr>
          <w:rFonts w:ascii="仿宋_GB2312" w:hAnsi="仿宋_GB2312" w:eastAsia="仿宋_GB2312" w:cs="仿宋_GB2312"/>
          <w:b/>
          <w:bCs/>
          <w:i w:val="0"/>
          <w:strike w:val="0"/>
          <w:color w:val="000000"/>
          <w:sz w:val="32"/>
          <w:highlight w:val="none"/>
          <w:u w:val="none"/>
        </w:rPr>
        <w:t>。</w:t>
      </w:r>
      <w:r>
        <w:rPr>
          <w:rFonts w:ascii="仿宋_GB2312" w:hAnsi="仿宋_GB2312" w:eastAsia="仿宋_GB2312" w:cs="仿宋_GB2312"/>
          <w:i w:val="0"/>
          <w:strike w:val="0"/>
          <w:color w:val="000000"/>
          <w:sz w:val="32"/>
          <w:highlight w:val="none"/>
          <w:u w:val="none"/>
        </w:rPr>
        <w:t>落实养老专项规划，加强新建住宅小区配建养老设施的全链条闭环管理。结合完整社区建设，通过购置、租赁、置换等方式补齐老旧小区设施短板，并盘活闲置低效空间发展养老功能。加快推进西乡敬老院、沙井敬老院等存量设施的改造提升。到2030年，持续保持老龄化社区长者服务站100%覆盖，每个站点至少</w:t>
      </w:r>
      <w:r>
        <w:rPr>
          <w:rFonts w:ascii="仿宋_GB2312" w:hAnsi="仿宋_GB2312" w:eastAsia="仿宋_GB2312" w:cs="仿宋_GB2312"/>
          <w:i w:val="0"/>
          <w:strike w:val="0"/>
          <w:color w:val="auto"/>
          <w:sz w:val="32"/>
          <w:highlight w:val="none"/>
          <w:u w:val="none"/>
        </w:rPr>
        <w:t>配备2名</w:t>
      </w:r>
      <w:r>
        <w:rPr>
          <w:rFonts w:hint="eastAsia" w:ascii="仿宋_GB2312" w:hAnsi="仿宋_GB2312" w:eastAsia="仿宋_GB2312" w:cs="仿宋_GB2312"/>
          <w:i w:val="0"/>
          <w:strike w:val="0"/>
          <w:dstrike w:val="0"/>
          <w:color w:val="auto"/>
          <w:sz w:val="32"/>
          <w:highlight w:val="none"/>
          <w:u w:val="none"/>
          <w:lang w:eastAsia="zh-CN"/>
        </w:rPr>
        <w:t>专职工作人员</w:t>
      </w:r>
      <w:r>
        <w:rPr>
          <w:rFonts w:ascii="仿宋_GB2312" w:hAnsi="仿宋_GB2312" w:eastAsia="仿宋_GB2312" w:cs="仿宋_GB2312"/>
          <w:i w:val="0"/>
          <w:strike w:val="0"/>
          <w:color w:val="auto"/>
          <w:sz w:val="32"/>
          <w:highlight w:val="none"/>
          <w:u w:val="none"/>
        </w:rPr>
        <w:t>。</w:t>
      </w:r>
    </w:p>
    <w:p w14:paraId="732E64D4">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eastAsia" w:cs="仿宋_GB2312"/>
          <w:i w:val="0"/>
          <w:strike w:val="0"/>
          <w:color w:val="000000"/>
          <w:sz w:val="32"/>
          <w:highlight w:val="none"/>
          <w:u w:val="none"/>
          <w:lang w:eastAsia="zh-CN"/>
        </w:rPr>
      </w:pPr>
      <w:r>
        <w:rPr>
          <w:rFonts w:hint="eastAsia" w:ascii="仿宋_GB2312" w:hAnsi="仿宋_GB2312" w:eastAsia="仿宋_GB2312" w:cs="仿宋_GB2312"/>
          <w:b/>
          <w:bCs/>
          <w:i w:val="0"/>
          <w:strike w:val="0"/>
          <w:color w:val="000000"/>
          <w:sz w:val="32"/>
          <w:highlight w:val="none"/>
          <w:u w:val="none"/>
        </w:rPr>
        <w:t>深化居家社区机构服务融合。</w:t>
      </w:r>
      <w:r>
        <w:rPr>
          <w:rFonts w:hint="eastAsia" w:ascii="仿宋_GB2312" w:hAnsi="仿宋_GB2312" w:eastAsia="仿宋_GB2312" w:cs="仿宋_GB2312"/>
          <w:i w:val="0"/>
          <w:strike w:val="0"/>
          <w:color w:val="000000"/>
          <w:sz w:val="32"/>
          <w:highlight w:val="none"/>
          <w:u w:val="none"/>
        </w:rPr>
        <w:t>巩固居家养老基础，健全财政补贴与个人自付相结合的适老化改造机制，推广智慧型家庭养老床位。支持区级养老服务机构向社区、家庭延伸服务，实现专业化、连锁化、品牌化运营。构建分层分类的机构养老供给体系，重点加大普惠型与护理型床位建设，到2030年全区护理型床位占比不低于90%。推动认知症照护专区建设，深化医疗卫生机构与养老机构签约合作，为老年人提供在线诊疗与慢病管理服务。</w:t>
      </w:r>
      <w:r>
        <w:rPr>
          <w:rFonts w:hint="eastAsia" w:ascii="仿宋_GB2312" w:hAnsi="仿宋_GB2312" w:eastAsia="仿宋_GB2312" w:cs="仿宋_GB2312"/>
          <w:b w:val="0"/>
          <w:bCs w:val="0"/>
          <w:color w:val="000000"/>
          <w:sz w:val="32"/>
          <w:szCs w:val="32"/>
          <w:highlight w:val="none"/>
          <w:lang w:eastAsia="zh-CN"/>
        </w:rPr>
        <w:t>拓展大湾区“跨境养老”服务，</w:t>
      </w:r>
      <w:r>
        <w:rPr>
          <w:rFonts w:hint="eastAsia" w:ascii="仿宋_GB2312" w:hAnsi="仿宋_GB2312" w:eastAsia="仿宋_GB2312" w:cs="仿宋_GB2312"/>
          <w:b w:val="0"/>
          <w:bCs w:val="0"/>
          <w:color w:val="000000"/>
          <w:kern w:val="2"/>
          <w:sz w:val="32"/>
          <w:szCs w:val="32"/>
          <w:highlight w:val="none"/>
          <w:lang w:val="en-US" w:eastAsia="zh-CN" w:bidi="ar-SA"/>
        </w:rPr>
        <w:t>加强与港澳地区在养老政策、服务标准、医保衔接等方面的沟通协调，探索大湾区“跨境养老”服务模式，联动前海等地，建立跨境养老服务信息共享平台</w:t>
      </w:r>
      <w:r>
        <w:rPr>
          <w:rFonts w:hint="eastAsia" w:cs="仿宋_GB2312"/>
          <w:b w:val="0"/>
          <w:bCs w:val="0"/>
          <w:color w:val="000000"/>
          <w:kern w:val="2"/>
          <w:sz w:val="32"/>
          <w:szCs w:val="32"/>
          <w:highlight w:val="none"/>
          <w:lang w:val="en-US" w:eastAsia="zh-CN" w:bidi="ar-SA"/>
        </w:rPr>
        <w:t>。</w:t>
      </w:r>
    </w:p>
    <w:p w14:paraId="26CE7811">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eastAsia" w:ascii="仿宋_GB2312" w:hAnsi="仿宋_GB2312" w:eastAsia="仿宋_GB2312" w:cs="仿宋_GB2312"/>
          <w:b/>
          <w:bCs/>
          <w:i w:val="0"/>
          <w:strike w:val="0"/>
          <w:color w:val="000000"/>
          <w:sz w:val="32"/>
          <w:highlight w:val="none"/>
          <w:u w:val="none"/>
          <w:lang w:val="en-US" w:eastAsia="zh-CN"/>
        </w:rPr>
        <w:t>推动</w:t>
      </w:r>
      <w:r>
        <w:rPr>
          <w:rFonts w:ascii="仿宋_GB2312" w:hAnsi="仿宋_GB2312" w:eastAsia="仿宋_GB2312" w:cs="仿宋_GB2312"/>
          <w:b/>
          <w:bCs/>
          <w:i w:val="0"/>
          <w:strike w:val="0"/>
          <w:color w:val="000000"/>
          <w:sz w:val="32"/>
          <w:highlight w:val="none"/>
          <w:u w:val="none"/>
        </w:rPr>
        <w:t>智慧化普惠化服务场景</w:t>
      </w:r>
      <w:r>
        <w:rPr>
          <w:rFonts w:hint="eastAsia" w:ascii="仿宋_GB2312" w:hAnsi="仿宋_GB2312" w:eastAsia="仿宋_GB2312" w:cs="仿宋_GB2312"/>
          <w:b/>
          <w:bCs/>
          <w:i w:val="0"/>
          <w:strike w:val="0"/>
          <w:color w:val="000000"/>
          <w:sz w:val="32"/>
          <w:highlight w:val="none"/>
          <w:u w:val="none"/>
          <w:lang w:eastAsia="zh-CN"/>
        </w:rPr>
        <w:t>建设。</w:t>
      </w:r>
      <w:r>
        <w:rPr>
          <w:rFonts w:hint="default" w:ascii="仿宋_GB2312" w:hAnsi="仿宋_GB2312" w:eastAsia="仿宋_GB2312" w:cs="仿宋_GB2312"/>
          <w:i w:val="0"/>
          <w:strike w:val="0"/>
          <w:color w:val="000000"/>
          <w:sz w:val="32"/>
          <w:highlight w:val="none"/>
          <w:u w:val="none"/>
        </w:rPr>
        <w:t>全面推广“智慧助餐”“刷脸用餐”模式并落实特殊困难老年人就餐补贴。打造“AI+养老”应用示范小区，集成无感安防、智能出行、远程医养、虚拟陪伴等标杆场景，形成可复制推广的智慧养老解决方案。</w:t>
      </w:r>
    </w:p>
    <w:p w14:paraId="3D236D49">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eastAsia" w:ascii="仿宋_GB2312" w:hAnsi="仿宋_GB2312" w:eastAsia="仿宋_GB2312" w:cs="仿宋_GB2312"/>
          <w:b/>
          <w:bCs/>
          <w:i w:val="0"/>
          <w:strike w:val="0"/>
          <w:color w:val="000000"/>
          <w:sz w:val="32"/>
          <w:highlight w:val="none"/>
          <w:u w:val="none"/>
        </w:rPr>
        <w:t>完善养老服务综合监管。</w:t>
      </w:r>
      <w:r>
        <w:rPr>
          <w:rFonts w:hint="eastAsia" w:ascii="仿宋_GB2312" w:hAnsi="仿宋_GB2312" w:eastAsia="仿宋_GB2312" w:cs="仿宋_GB2312"/>
          <w:i w:val="0"/>
          <w:strike w:val="0"/>
          <w:color w:val="000000"/>
          <w:sz w:val="32"/>
          <w:highlight w:val="none"/>
          <w:u w:val="none"/>
        </w:rPr>
        <w:t>建立健全养老服务标准、信用、应急及监管体系，定期开展养老机构消防、食品、燃气、住房安全等达标检查。推行养老机构预收费全流程监管，加强等级评定与信用档案建设，探索建立老年用品与服务质量消费评价机制，推动以信用为基础的新型监管模式落地。</w:t>
      </w:r>
    </w:p>
    <w:p w14:paraId="66231DC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bCs/>
          <w:i w:val="0"/>
          <w:strike w:val="0"/>
          <w:color w:val="000000"/>
          <w:sz w:val="32"/>
          <w:highlight w:val="none"/>
          <w:u w:val="none"/>
        </w:rPr>
        <w:t>壮大养老服务人才队伍。</w:t>
      </w:r>
      <w:r>
        <w:rPr>
          <w:rFonts w:hint="default" w:ascii="仿宋_GB2312" w:hAnsi="仿宋_GB2312" w:eastAsia="仿宋_GB2312" w:cs="仿宋_GB2312"/>
          <w:i w:val="0"/>
          <w:strike w:val="0"/>
          <w:color w:val="000000"/>
          <w:sz w:val="32"/>
          <w:highlight w:val="none"/>
          <w:u w:val="none"/>
        </w:rPr>
        <w:t>完善养老服务人才引进、培养与激励政策，与职业院校合作开展定向培养以扩大专业人才供给。定期实施技能提升计划，建立从业人员信用档案与“黑名单”制度，支持家庭照护者接受专业培训和享受“喘息服务”。到2030年，开展养老服务人才培训达8000人次以上。</w:t>
      </w:r>
    </w:p>
    <w:p w14:paraId="5926BC91">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72" w:name="_Toc30887"/>
      <w:bookmarkStart w:id="73" w:name="_Toc26936"/>
      <w:r>
        <w:rPr>
          <w:rFonts w:ascii="楷体_GB2312" w:hAnsi="楷体_GB2312" w:eastAsia="楷体_GB2312" w:cs="楷体_GB2312"/>
          <w:i w:val="0"/>
          <w:strike w:val="0"/>
          <w:color w:val="000000"/>
          <w:spacing w:val="0"/>
          <w:sz w:val="32"/>
          <w:highlight w:val="none"/>
          <w:u w:val="none"/>
        </w:rPr>
        <w:t>（三）</w:t>
      </w:r>
      <w:r>
        <w:rPr>
          <w:rFonts w:hint="eastAsia" w:ascii="楷体_GB2312" w:hAnsi="楷体_GB2312" w:eastAsia="楷体_GB2312" w:cs="楷体_GB2312"/>
          <w:i w:val="0"/>
          <w:strike w:val="0"/>
          <w:color w:val="000000"/>
          <w:spacing w:val="0"/>
          <w:sz w:val="32"/>
          <w:highlight w:val="none"/>
          <w:u w:val="none"/>
        </w:rPr>
        <w:t>营造老年友好社会环境</w:t>
      </w:r>
      <w:bookmarkEnd w:id="72"/>
      <w:bookmarkEnd w:id="73"/>
    </w:p>
    <w:p w14:paraId="1F60EA46">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lang w:eastAsia="zh-CN"/>
        </w:rPr>
        <w:t>优化宜居友好环境。</w:t>
      </w:r>
      <w:r>
        <w:rPr>
          <w:rFonts w:hint="default" w:ascii="仿宋_GB2312" w:hAnsi="仿宋_GB2312" w:eastAsia="仿宋_GB2312" w:cs="仿宋_GB2312"/>
          <w:i w:val="0"/>
          <w:strike w:val="0"/>
          <w:color w:val="000000"/>
          <w:sz w:val="32"/>
          <w:highlight w:val="none"/>
          <w:u w:val="none"/>
          <w:lang w:eastAsia="zh-CN"/>
        </w:rPr>
        <w:t>统筹推进公共设施、信息交流与服务领域的无障碍化和适老化改造，深入开展“智慧助老”行动以提升老年人数字素养。积极创建全国示范性老年友好型社区，开发书法、绘画、声乐等多元化学习课程</w:t>
      </w:r>
      <w:r>
        <w:rPr>
          <w:rFonts w:hint="eastAsia" w:ascii="仿宋_GB2312" w:hAnsi="仿宋_GB2312" w:eastAsia="仿宋_GB2312" w:cs="仿宋_GB2312"/>
          <w:i w:val="0"/>
          <w:strike w:val="0"/>
          <w:color w:val="000000"/>
          <w:sz w:val="32"/>
          <w:highlight w:val="none"/>
          <w:u w:val="none"/>
          <w:lang w:val="en-US" w:eastAsia="zh-CN"/>
        </w:rPr>
        <w:t>，打造一批具有影响力的银发学习服务平台</w:t>
      </w:r>
      <w:r>
        <w:rPr>
          <w:rFonts w:hint="default" w:ascii="仿宋_GB2312" w:hAnsi="仿宋_GB2312" w:eastAsia="仿宋_GB2312" w:cs="仿宋_GB2312"/>
          <w:i w:val="0"/>
          <w:strike w:val="0"/>
          <w:color w:val="000000"/>
          <w:sz w:val="32"/>
          <w:highlight w:val="none"/>
          <w:u w:val="none"/>
          <w:lang w:eastAsia="zh-CN"/>
        </w:rPr>
        <w:t>。到2030年，全区示范性老年友好型社区累计不少于5个。</w:t>
      </w:r>
    </w:p>
    <w:p w14:paraId="0A37F808">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color w:val="000000"/>
          <w:highlight w:val="none"/>
        </w:rPr>
      </w:pPr>
      <w:r>
        <w:rPr>
          <w:rFonts w:hint="default" w:ascii="仿宋_GB2312" w:hAnsi="仿宋_GB2312" w:eastAsia="仿宋_GB2312" w:cs="仿宋_GB2312"/>
          <w:b/>
          <w:bCs/>
          <w:i w:val="0"/>
          <w:strike w:val="0"/>
          <w:color w:val="000000"/>
          <w:sz w:val="32"/>
          <w:highlight w:val="none"/>
          <w:u w:val="none"/>
          <w:lang w:eastAsia="zh-CN"/>
        </w:rPr>
        <w:t>维护老年人合法权益。</w:t>
      </w:r>
      <w:r>
        <w:rPr>
          <w:rFonts w:hint="default" w:ascii="仿宋_GB2312" w:hAnsi="仿宋_GB2312" w:eastAsia="仿宋_GB2312" w:cs="仿宋_GB2312"/>
          <w:i w:val="0"/>
          <w:strike w:val="0"/>
          <w:color w:val="000000"/>
          <w:sz w:val="32"/>
          <w:highlight w:val="none"/>
          <w:u w:val="none"/>
          <w:lang w:eastAsia="zh-CN"/>
        </w:rPr>
        <w:t>加强老年人权益保障法治宣传，严厉打击涉老诈骗等违法犯罪。健全涉老案件调解与诉讼衔接机制，加强对特殊困难老年人的法律援助。推广养老服务标准合同的线上签约模式，提升养老服务透明度与规范化水平。</w:t>
      </w:r>
    </w:p>
    <w:p w14:paraId="0690763A">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eastAsia" w:cs="仿宋_GB2312"/>
          <w:i w:val="0"/>
          <w:strike w:val="0"/>
          <w:color w:val="000000"/>
          <w:sz w:val="32"/>
          <w:highlight w:val="none"/>
          <w:u w:val="none"/>
          <w:lang w:eastAsia="zh-CN"/>
        </w:rPr>
      </w:pPr>
      <w:r>
        <w:rPr>
          <w:rFonts w:hint="default" w:ascii="仿宋_GB2312" w:hAnsi="仿宋_GB2312" w:eastAsia="仿宋_GB2312" w:cs="仿宋_GB2312"/>
          <w:b/>
          <w:bCs/>
          <w:i w:val="0"/>
          <w:strike w:val="0"/>
          <w:color w:val="000000"/>
          <w:sz w:val="32"/>
          <w:highlight w:val="none"/>
          <w:u w:val="none"/>
          <w:lang w:eastAsia="zh-CN"/>
        </w:rPr>
        <w:t>激发“老有所为”社会活力。</w:t>
      </w:r>
      <w:r>
        <w:rPr>
          <w:rFonts w:ascii="仿宋_GB2312" w:hAnsi="仿宋_GB2312" w:eastAsia="仿宋_GB2312" w:cs="仿宋_GB2312"/>
          <w:i w:val="0"/>
          <w:strike w:val="0"/>
          <w:color w:val="000000"/>
          <w:sz w:val="32"/>
          <w:highlight w:val="none"/>
          <w:u w:val="none"/>
        </w:rPr>
        <w:t>推动“银龄行动”拓面升级，深度挖掘老年人经验、技能等优势，支持老年人参与文明实践、公益慈善、志愿服务等事业，鼓励老年人继续在社会和家庭发光发热、发挥作用。</w:t>
      </w:r>
      <w:r>
        <w:rPr>
          <w:rFonts w:hint="default" w:ascii="仿宋_GB2312" w:hAnsi="仿宋_GB2312" w:eastAsia="仿宋_GB2312" w:cs="仿宋_GB2312"/>
          <w:i w:val="0"/>
          <w:strike w:val="0"/>
          <w:color w:val="000000"/>
          <w:sz w:val="32"/>
          <w:highlight w:val="none"/>
          <w:u w:val="none"/>
          <w:lang w:eastAsia="zh-CN"/>
        </w:rPr>
        <w:t>加强基层老年协会规范化建设，组织老年人积极参与互助养老与社区治理。</w:t>
      </w:r>
    </w:p>
    <w:p w14:paraId="62F7DC72">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lang w:eastAsia="zh-CN"/>
        </w:rPr>
      </w:pPr>
      <w:r>
        <w:rPr>
          <w:rFonts w:hint="default" w:ascii="仿宋_GB2312" w:hAnsi="仿宋_GB2312" w:eastAsia="仿宋_GB2312" w:cs="仿宋_GB2312"/>
          <w:b/>
          <w:bCs/>
          <w:i w:val="0"/>
          <w:strike w:val="0"/>
          <w:color w:val="000000"/>
          <w:sz w:val="32"/>
          <w:highlight w:val="none"/>
          <w:u w:val="none"/>
          <w:lang w:eastAsia="zh-CN"/>
        </w:rPr>
        <w:t>丰富“老有所乐”生活场景。</w:t>
      </w:r>
      <w:r>
        <w:rPr>
          <w:rFonts w:hint="default" w:ascii="仿宋_GB2312" w:hAnsi="仿宋_GB2312" w:eastAsia="仿宋_GB2312" w:cs="仿宋_GB2312"/>
          <w:i w:val="0"/>
          <w:strike w:val="0"/>
          <w:color w:val="000000"/>
          <w:sz w:val="32"/>
          <w:highlight w:val="none"/>
          <w:u w:val="none"/>
          <w:lang w:eastAsia="zh-CN"/>
        </w:rPr>
        <w:t>以“全龄友好型社会”为导向，引导社会资本和市场主体开发宠物陪伴、时尚服饰、智能珠宝、康复辅具等适老产品与服务。打造“文化浸润+科技赋能”的老年幸福生活新场景，拓展银发消费新领域。</w:t>
      </w:r>
    </w:p>
    <w:p w14:paraId="4CD04B03">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rFonts w:ascii="楷体_GB2312" w:hAnsi="楷体_GB2312" w:eastAsia="楷体_GB2312" w:cs="楷体_GB2312"/>
          <w:i w:val="0"/>
          <w:strike w:val="0"/>
          <w:color w:val="000000"/>
          <w:spacing w:val="0"/>
          <w:sz w:val="32"/>
          <w:highlight w:val="none"/>
          <w:u w:val="none"/>
        </w:rPr>
      </w:pPr>
      <w:bookmarkStart w:id="74" w:name="_Toc16063"/>
      <w:bookmarkStart w:id="75" w:name="_Toc12072"/>
      <w:r>
        <w:rPr>
          <w:rFonts w:ascii="楷体_GB2312" w:hAnsi="楷体_GB2312" w:eastAsia="楷体_GB2312" w:cs="楷体_GB2312"/>
          <w:i w:val="0"/>
          <w:strike w:val="0"/>
          <w:color w:val="000000"/>
          <w:spacing w:val="0"/>
          <w:sz w:val="32"/>
          <w:highlight w:val="none"/>
          <w:u w:val="none"/>
        </w:rPr>
        <w:t>（四）</w:t>
      </w:r>
      <w:r>
        <w:rPr>
          <w:rFonts w:ascii="楷体_GB2312" w:hAnsi="楷体_GB2312" w:eastAsia="楷体_GB2312" w:cs="楷体_GB2312"/>
          <w:i w:val="0"/>
          <w:strike w:val="0"/>
          <w:color w:val="000000"/>
          <w:spacing w:val="0"/>
          <w:sz w:val="32"/>
          <w:highlight w:val="none"/>
          <w:u w:val="none"/>
          <w:lang w:val="en-US" w:eastAsia="zh-CN"/>
        </w:rPr>
        <w:t>做大做强银发经济产业</w:t>
      </w:r>
      <w:bookmarkEnd w:id="74"/>
    </w:p>
    <w:bookmarkEnd w:id="75"/>
    <w:p w14:paraId="17B2C177">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围绕老年人“衣食住行用、康养文旅服”需求，聚焦智能辅具、适老家居、健康食品、文旅康养等关键细分领域，系统布局产业链。重点引导人工智能、机器人等头部企业向养老产业延伸，推动银发经济向高科技、高品质、高附加值转型，打造“宝安智造”产业高地。</w:t>
      </w:r>
    </w:p>
    <w:p w14:paraId="42F12F32">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做强平台载体支撑。</w:t>
      </w:r>
      <w:r>
        <w:rPr>
          <w:rFonts w:hint="default" w:ascii="仿宋_GB2312" w:hAnsi="仿宋_GB2312" w:eastAsia="仿宋_GB2312" w:cs="仿宋_GB2312"/>
          <w:i w:val="0"/>
          <w:strike w:val="0"/>
          <w:color w:val="000000"/>
          <w:sz w:val="32"/>
          <w:highlight w:val="none"/>
          <w:u w:val="none"/>
        </w:rPr>
        <w:t>完善养老产业链党委引领机制，建立跨部门“日常协作、专项联动、重点督导”工作模式。发挥区银发经济产业协会、中科银发科技研究院等机构功能，深化产业研究、标准制定与成果转化。高标准建设银发经济产业园，集成产业孵化、深港合作、金融赋能等综合平台。完善民生消费券精准发放与动态监管机制，</w:t>
      </w:r>
      <w:r>
        <w:rPr>
          <w:rFonts w:ascii="仿宋_GB2312" w:hAnsi="仿宋_GB2312" w:eastAsia="仿宋_GB2312" w:cs="仿宋_GB2312"/>
          <w:i w:val="0"/>
          <w:strike w:val="0"/>
          <w:color w:val="000000"/>
          <w:sz w:val="32"/>
          <w:highlight w:val="none"/>
          <w:u w:val="none"/>
        </w:rPr>
        <w:t>大力发展社区嵌入式养老与消费融合场景，积极培育线上线下协同的老年消费市场，建成</w:t>
      </w:r>
      <w:r>
        <w:rPr>
          <w:rFonts w:hint="eastAsia" w:ascii="仿宋_GB2312" w:hAnsi="仿宋_GB2312" w:eastAsia="仿宋_GB2312" w:cs="仿宋_GB2312"/>
          <w:i w:val="0"/>
          <w:strike w:val="0"/>
          <w:color w:val="000000"/>
          <w:sz w:val="32"/>
          <w:highlight w:val="none"/>
          <w:u w:val="none"/>
          <w:lang w:val="en-US" w:eastAsia="zh-CN"/>
        </w:rPr>
        <w:t>智慧养老产品和适老用品展示体验消费中心</w:t>
      </w:r>
      <w:r>
        <w:rPr>
          <w:rFonts w:ascii="仿宋_GB2312" w:hAnsi="仿宋_GB2312" w:eastAsia="仿宋_GB2312" w:cs="仿宋_GB2312"/>
          <w:i w:val="0"/>
          <w:strike w:val="0"/>
          <w:color w:val="000000"/>
          <w:sz w:val="32"/>
          <w:highlight w:val="none"/>
          <w:u w:val="none"/>
        </w:rPr>
        <w:t>，</w:t>
      </w:r>
      <w:r>
        <w:rPr>
          <w:rFonts w:hint="eastAsia" w:ascii="仿宋_GB2312" w:hAnsi="仿宋_GB2312" w:eastAsia="仿宋_GB2312" w:cs="仿宋_GB2312"/>
          <w:i w:val="0"/>
          <w:strike w:val="0"/>
          <w:color w:val="000000"/>
          <w:sz w:val="32"/>
          <w:highlight w:val="none"/>
          <w:u w:val="none"/>
          <w:lang w:val="en-US" w:eastAsia="zh-CN"/>
        </w:rPr>
        <w:t>探索</w:t>
      </w:r>
      <w:r>
        <w:rPr>
          <w:rFonts w:ascii="仿宋_GB2312" w:hAnsi="仿宋_GB2312" w:eastAsia="仿宋_GB2312" w:cs="仿宋_GB2312"/>
          <w:i w:val="0"/>
          <w:strike w:val="0"/>
          <w:color w:val="000000"/>
          <w:sz w:val="32"/>
          <w:highlight w:val="none"/>
          <w:u w:val="none"/>
        </w:rPr>
        <w:t>构建“15分钟银龄生活圈”，打造具有区域影响力的银发消费旺区。</w:t>
      </w:r>
    </w:p>
    <w:p w14:paraId="7BF5E5F4">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rPr>
      </w:pPr>
      <w:r>
        <w:rPr>
          <w:rFonts w:ascii="仿宋_GB2312" w:hAnsi="仿宋_GB2312" w:eastAsia="仿宋_GB2312" w:cs="仿宋_GB2312"/>
          <w:b/>
          <w:i w:val="0"/>
          <w:strike w:val="0"/>
          <w:color w:val="000000"/>
          <w:sz w:val="32"/>
          <w:highlight w:val="none"/>
          <w:u w:val="none"/>
        </w:rPr>
        <w:t>创新产品与市场场景。</w:t>
      </w:r>
      <w:r>
        <w:rPr>
          <w:rFonts w:hint="eastAsia" w:ascii="仿宋_GB2312" w:hAnsi="仿宋_GB2312" w:eastAsia="仿宋_GB2312" w:cs="仿宋_GB2312"/>
          <w:i w:val="0"/>
          <w:strike w:val="0"/>
          <w:color w:val="000000"/>
          <w:sz w:val="32"/>
          <w:highlight w:val="none"/>
          <w:u w:val="none"/>
        </w:rPr>
        <w:t>引导优势企业将成熟技术向养老领域辐射，建设品类冠军孵化器，分赛道研发“爆款”产品。搭建“机器人+银发”“人工智能+银发”场景创新生态，开展场景机会与能力对接，探索“以场景促招商”。结合“以旧换新”与春节、重阳及敬老月等节点，开展系列适老化产品展销与消费主题促进活动。</w:t>
      </w:r>
    </w:p>
    <w:p w14:paraId="0C5B122B">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rPr>
      </w:pPr>
      <w:r>
        <w:rPr>
          <w:rFonts w:hint="eastAsia" w:ascii="仿宋_GB2312" w:hAnsi="仿宋_GB2312" w:eastAsia="仿宋_GB2312" w:cs="仿宋_GB2312"/>
          <w:b/>
          <w:bCs/>
          <w:i w:val="0"/>
          <w:strike w:val="0"/>
          <w:color w:val="000000"/>
          <w:sz w:val="32"/>
          <w:highlight w:val="none"/>
          <w:u w:val="none"/>
        </w:rPr>
        <w:t>链接国际发展资源。</w:t>
      </w:r>
      <w:r>
        <w:rPr>
          <w:rFonts w:hint="eastAsia" w:ascii="仿宋_GB2312" w:hAnsi="仿宋_GB2312" w:eastAsia="仿宋_GB2312" w:cs="仿宋_GB2312"/>
          <w:i w:val="0"/>
          <w:strike w:val="0"/>
          <w:color w:val="000000"/>
          <w:sz w:val="32"/>
          <w:highlight w:val="none"/>
          <w:u w:val="none"/>
        </w:rPr>
        <w:t>推动企业参加国内外养老产业高端展会，创新“展会+直播+跨境电商”融合推广模式。落实上级部署，搭建宝安区银发经济出海平台，助力区内企业与产品拓展国际市场，提升区域品牌影响力。</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776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03E6C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2</w:t>
            </w:r>
            <w:r>
              <w:rPr>
                <w:rFonts w:eastAsia="仿宋_GB2312" w:cs="Times New Roman"/>
                <w:b/>
                <w:bCs/>
                <w:kern w:val="0"/>
                <w:sz w:val="28"/>
                <w:szCs w:val="28"/>
              </w:rPr>
              <w:t xml:space="preserve">  幸福颐养体系建设工程</w:t>
            </w:r>
          </w:p>
        </w:tc>
      </w:tr>
      <w:tr w14:paraId="6AE2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14:paraId="662EC0D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养老服务设施强基工程。</w:t>
            </w:r>
            <w:r>
              <w:rPr>
                <w:rFonts w:hint="eastAsia" w:eastAsia="仿宋_GB2312" w:cs="Times New Roman"/>
                <w:kern w:val="0"/>
                <w:sz w:val="28"/>
                <w:szCs w:val="28"/>
              </w:rPr>
              <w:t>加快推进沙井、福永敬老院改造提升，全面实施“街道-社区-小区-家庭”四级养老服务网络标准化建设。重点推进街道长者服务中心功能升级和社区养老服务站点布局优化，到2030年全区养老床位数达到5000张，老龄化社区长者服务站保持100%覆盖。依托区养老院等示范性设施，打造“智慧养老院”标杆，推动AI护理机器人、智能监测设备等智慧养老产品规模化应用。</w:t>
            </w:r>
          </w:p>
          <w:p w14:paraId="4CD3A4D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rPr>
              <w:t>五星级公办养老院</w:t>
            </w:r>
            <w:r>
              <w:rPr>
                <w:rFonts w:hint="eastAsia" w:eastAsia="仿宋_GB2312" w:cs="Times New Roman"/>
                <w:b/>
                <w:bCs/>
                <w:kern w:val="0"/>
                <w:sz w:val="28"/>
                <w:szCs w:val="28"/>
                <w:lang w:val="en-US" w:eastAsia="zh-CN"/>
              </w:rPr>
              <w:t>提升</w:t>
            </w:r>
            <w:r>
              <w:rPr>
                <w:rFonts w:hint="eastAsia" w:eastAsia="仿宋_GB2312" w:cs="Times New Roman"/>
                <w:b/>
                <w:bCs/>
                <w:kern w:val="0"/>
                <w:sz w:val="28"/>
                <w:szCs w:val="28"/>
              </w:rPr>
              <w:t>工程。</w:t>
            </w:r>
            <w:r>
              <w:rPr>
                <w:rFonts w:hint="eastAsia" w:eastAsia="仿宋_GB2312" w:cs="Times New Roman"/>
                <w:kern w:val="0"/>
                <w:sz w:val="28"/>
                <w:szCs w:val="28"/>
                <w:lang w:eastAsia="zh-CN"/>
              </w:rPr>
              <w:t>充分发挥区养老院公办公营机制优势，整合场地功能立体多元、护理人才支撑充足、院校企社联动紧密等综合资源，锚定“智慧化立体街区式”养老院建设目标。对标国家《养老机构等级划分与评定》五星级标准，系统推进硬件升级、管理优化和服务提升，重点强化数智化养老设施应用深度和认知障碍照护服务能力，率先建成全市公办养老机构品质标杆。</w:t>
            </w:r>
          </w:p>
          <w:p w14:paraId="030BF9C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智慧养老管理平台升级工程。</w:t>
            </w:r>
            <w:r>
              <w:rPr>
                <w:rFonts w:hint="eastAsia" w:eastAsia="仿宋_GB2312" w:cs="Times New Roman"/>
                <w:kern w:val="0"/>
                <w:sz w:val="28"/>
                <w:szCs w:val="28"/>
              </w:rPr>
              <w:t>迭代升级区级智慧养老管理系统，拓展智慧护理、智能定位、智慧安防、数据分析等核心功能模块。推动养老服务全流程数字化管理，实现服务资源智能调度、照护质量实时监测、风险预警精准触发，全面提升养老服务精细化、智能化管理水平。</w:t>
            </w:r>
          </w:p>
          <w:p w14:paraId="10EF915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智慧养老体验中心建设工程。</w:t>
            </w:r>
            <w:r>
              <w:rPr>
                <w:rFonts w:hint="eastAsia" w:eastAsia="仿宋_GB2312" w:cs="Times New Roman"/>
                <w:kern w:val="0"/>
                <w:sz w:val="28"/>
                <w:szCs w:val="28"/>
              </w:rPr>
              <w:t>推动“智慧养老院”示范建设，鼓励社会资本投入康养大模型研发。深化与科技企业合作，打造集产品展示、场景体验、供需对接于一体的智慧养老体验中心。重点探索“AI+养老”“鸿蒙+养老”等创新应用场景，加速智能养老产品和服务在机构养老中的规模化落地。</w:t>
            </w:r>
          </w:p>
          <w:p w14:paraId="40AA830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“党建+”智慧养老试点工程。</w:t>
            </w:r>
            <w:r>
              <w:rPr>
                <w:rFonts w:hint="eastAsia" w:eastAsia="仿宋_GB2312" w:cs="Times New Roman"/>
                <w:kern w:val="0"/>
                <w:sz w:val="28"/>
                <w:szCs w:val="28"/>
              </w:rPr>
              <w:t>在福中福等社区开展党建引领智慧养老试点，构建“社区党委核心引领、智慧平台技术支撑、多元主体协同参与”的养老服务体系。加速智慧养老服务产品和技术在社区层面的落地应用，分步打造“党建+养老”特色品牌，形成可向全市复制推广的“党建+科技+协同”社区养老新范式。</w:t>
            </w:r>
          </w:p>
          <w:p w14:paraId="6805ED0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养老服务政策创制工程。</w:t>
            </w:r>
            <w:r>
              <w:rPr>
                <w:rFonts w:hint="eastAsia" w:eastAsia="仿宋_GB2312" w:cs="Times New Roman"/>
                <w:kern w:val="0"/>
                <w:sz w:val="28"/>
                <w:szCs w:val="28"/>
              </w:rPr>
              <w:t>开展《宝安区社区养老服务设施管理办法》修订完善工作，强化规划引领和前瞻布局。围绕设施配置、运营管理、质量评估等关键环节，健全养老服务政策制度体系，推动设施配置更均衡、服务覆盖更全面、管理机制更健全，持续提升养老服务体系的政策响应能力和服务质量。</w:t>
            </w:r>
          </w:p>
          <w:p w14:paraId="63ABECF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“宝安特色”银发经济产业园培育工程。</w:t>
            </w:r>
            <w:r>
              <w:rPr>
                <w:rFonts w:hint="eastAsia" w:eastAsia="仿宋_GB2312" w:cs="Times New Roman"/>
                <w:kern w:val="0"/>
                <w:sz w:val="28"/>
                <w:szCs w:val="28"/>
              </w:rPr>
              <w:t>立足粤港澳大湾区产业协同优势，分步搭建产业孵化、深港合作、场景应用、公共资源配置、金融赋能五大功能平台，力争“十五五”期间建成银发经济产业园。坚持制造与服务双轮驱动，聚焦智能辅具研发、康复机器人制造、适老化家居设计等高端制造业，同步发展老年健康食品、智慧养老平台、休闲文旅、适老金融等现代服务业。推动设立亿元级银发经济产业基金，重点引育“专精特新”及高新技术企业，引导人工智能、机器人等优势企业向养老产业延伸布局。建设品类冠军孵化器，突破智能仿生肢体、脑机接口、骨传导助听器等硬核技术，打造行业标杆单品。搭建“机器人+银发”“AI+康养”场景验证中心，开展居家及机构养老场景能力对接，结合“以旧换新”推动适老化改造与主题消费活动。深化深港协同创新，探索共建跨境研发实验室，推动产品认证互认与标准输出。到2030年，银发经济产值取得新突破，孵化一批细分领域冠军企业，建成具有影响力的银发经济高地。</w:t>
            </w:r>
          </w:p>
        </w:tc>
      </w:tr>
    </w:tbl>
    <w:p w14:paraId="177E9679">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color w:val="000000"/>
          <w:highlight w:val="none"/>
        </w:rPr>
      </w:pPr>
      <w:bookmarkStart w:id="76" w:name="_Toc25105"/>
      <w:r>
        <w:rPr>
          <w:rFonts w:hint="eastAsia" w:ascii="黑体" w:hAnsi="黑体" w:eastAsia="黑体" w:cs="黑体"/>
          <w:i w:val="0"/>
          <w:strike w:val="0"/>
          <w:color w:val="000000"/>
          <w:spacing w:val="0"/>
          <w:sz w:val="32"/>
          <w:highlight w:val="none"/>
          <w:u w:val="none"/>
          <w:lang w:val="en-US" w:eastAsia="zh-CN"/>
        </w:rPr>
        <w:t>二</w:t>
      </w:r>
      <w:r>
        <w:rPr>
          <w:rFonts w:hint="eastAsia" w:ascii="黑体" w:hAnsi="黑体" w:eastAsia="黑体" w:cs="黑体"/>
          <w:i w:val="0"/>
          <w:strike w:val="0"/>
          <w:color w:val="000000"/>
          <w:spacing w:val="0"/>
          <w:sz w:val="32"/>
          <w:highlight w:val="none"/>
          <w:u w:val="none"/>
        </w:rPr>
        <w:t>、</w:t>
      </w:r>
      <w:bookmarkEnd w:id="67"/>
      <w:r>
        <w:rPr>
          <w:rFonts w:hint="eastAsia" w:ascii="黑体" w:hAnsi="黑体" w:eastAsia="黑体" w:cs="黑体"/>
          <w:i w:val="0"/>
          <w:strike w:val="0"/>
          <w:color w:val="000000"/>
          <w:spacing w:val="0"/>
          <w:sz w:val="32"/>
          <w:highlight w:val="none"/>
          <w:u w:val="none"/>
        </w:rPr>
        <w:t>健全分层分类社会救助体系</w:t>
      </w:r>
      <w:bookmarkEnd w:id="76"/>
    </w:p>
    <w:p w14:paraId="6F72F1B1">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color w:val="000000"/>
          <w:highlight w:val="none"/>
        </w:rPr>
      </w:pPr>
      <w:r>
        <w:rPr>
          <w:rFonts w:ascii="仿宋_GB2312" w:hAnsi="仿宋_GB2312" w:eastAsia="仿宋_GB2312" w:cs="仿宋_GB2312"/>
          <w:i w:val="0"/>
          <w:strike w:val="0"/>
          <w:color w:val="000000"/>
          <w:sz w:val="32"/>
          <w:highlight w:val="none"/>
          <w:u w:val="none"/>
        </w:rPr>
        <w:t>健全以基本生活救助、专项社会救助、急难社会救助为主体</w:t>
      </w:r>
      <w:r>
        <w:rPr>
          <w:rFonts w:hint="eastAsia" w:ascii="仿宋_GB2312" w:hAnsi="仿宋_GB2312" w:eastAsia="仿宋_GB2312" w:cs="仿宋_GB2312"/>
          <w:i w:val="0"/>
          <w:strike w:val="0"/>
          <w:color w:val="000000"/>
          <w:sz w:val="32"/>
          <w:highlight w:val="none"/>
          <w:u w:val="none"/>
          <w:lang w:eastAsia="zh-CN"/>
        </w:rPr>
        <w:t>，以</w:t>
      </w:r>
      <w:r>
        <w:rPr>
          <w:rFonts w:ascii="仿宋_GB2312" w:hAnsi="仿宋_GB2312" w:eastAsia="仿宋_GB2312" w:cs="仿宋_GB2312"/>
          <w:i w:val="0"/>
          <w:strike w:val="0"/>
          <w:color w:val="000000"/>
          <w:sz w:val="32"/>
          <w:highlight w:val="none"/>
          <w:u w:val="none"/>
        </w:rPr>
        <w:t>社会力量充分参与为补充的分层分类社会救助体系，推动“兜底型救助”向“发展型帮扶”的根本性转变，实现精准救助、高效救助、温暖救助、智慧救助。</w:t>
      </w:r>
    </w:p>
    <w:p w14:paraId="260DF96B">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77" w:name="_Toc2890"/>
      <w:bookmarkStart w:id="78" w:name="_Toc7167"/>
      <w:r>
        <w:rPr>
          <w:rFonts w:ascii="楷体_GB2312" w:hAnsi="楷体_GB2312" w:eastAsia="楷体_GB2312" w:cs="楷体_GB2312"/>
          <w:i w:val="0"/>
          <w:strike w:val="0"/>
          <w:color w:val="000000"/>
          <w:spacing w:val="0"/>
          <w:sz w:val="32"/>
          <w:highlight w:val="none"/>
          <w:u w:val="none"/>
        </w:rPr>
        <w:t>（一）</w:t>
      </w:r>
      <w:bookmarkEnd w:id="77"/>
      <w:r>
        <w:rPr>
          <w:rFonts w:hint="eastAsia" w:ascii="楷体_GB2312" w:hAnsi="楷体_GB2312" w:eastAsia="楷体_GB2312" w:cs="楷体_GB2312"/>
          <w:i w:val="0"/>
          <w:strike w:val="0"/>
          <w:color w:val="000000"/>
          <w:spacing w:val="0"/>
          <w:sz w:val="32"/>
          <w:highlight w:val="none"/>
          <w:u w:val="none"/>
        </w:rPr>
        <w:t>完善综合救助政策体系</w:t>
      </w:r>
      <w:bookmarkEnd w:id="78"/>
    </w:p>
    <w:p w14:paraId="509D0FEE">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构建多层次分类梯度救助机制，科学划分社会救助圈层，拓展救助类型与覆盖对象，推动社会救助扩围增效。</w:t>
      </w:r>
    </w:p>
    <w:p w14:paraId="07346AE2">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健全主动发现与探访关爱机制。</w:t>
      </w:r>
      <w:r>
        <w:rPr>
          <w:rFonts w:hint="default" w:ascii="仿宋_GB2312" w:hAnsi="仿宋_GB2312" w:eastAsia="仿宋_GB2312" w:cs="仿宋_GB2312"/>
          <w:i w:val="0"/>
          <w:strike w:val="0"/>
          <w:color w:val="000000"/>
          <w:sz w:val="32"/>
          <w:highlight w:val="none"/>
          <w:u w:val="none"/>
        </w:rPr>
        <w:t>加大对重病、重残等特殊困难群体的日常探访和动态关注力度，完善风险预警与主动响应机制。打造标准化服务品牌，常态化开展“一日两次”巡查及“夏送清凉”“冬送温暖”专项行动。</w:t>
      </w:r>
    </w:p>
    <w:p w14:paraId="0916EFAB">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强化政策衔接与制度协同。</w:t>
      </w:r>
      <w:r>
        <w:rPr>
          <w:rFonts w:hint="default" w:ascii="仿宋_GB2312" w:hAnsi="仿宋_GB2312" w:eastAsia="仿宋_GB2312" w:cs="仿宋_GB2312"/>
          <w:i w:val="0"/>
          <w:strike w:val="0"/>
          <w:color w:val="000000"/>
          <w:sz w:val="32"/>
          <w:highlight w:val="none"/>
          <w:u w:val="none"/>
        </w:rPr>
        <w:t>推动社会救助政策与卫健、住建、医保等政策制度的有效衔接，提升救助资源统筹配置效率与整体效能。严格落实国家、省、市社会救助政策，健全低保、特困、低保边缘及支出型困难家庭的精准认定与动态调整机制。全面执行《深圳市临时救助办法》，将急难型救助覆盖至事发地在本区的临时遇困人员（含港澳台居民），将支出型救助范围覆盖至符合条件的非户籍人员，切实打破户籍限制。</w:t>
      </w:r>
    </w:p>
    <w:p w14:paraId="1AD8558D">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79" w:name="_Toc26793"/>
      <w:bookmarkStart w:id="80" w:name="_Toc13433"/>
      <w:r>
        <w:rPr>
          <w:rFonts w:ascii="楷体_GB2312" w:hAnsi="楷体_GB2312" w:eastAsia="楷体_GB2312" w:cs="楷体_GB2312"/>
          <w:i w:val="0"/>
          <w:strike w:val="0"/>
          <w:color w:val="000000"/>
          <w:spacing w:val="0"/>
          <w:sz w:val="32"/>
          <w:highlight w:val="none"/>
          <w:u w:val="none"/>
        </w:rPr>
        <w:t>（二）</w:t>
      </w:r>
      <w:bookmarkEnd w:id="79"/>
      <w:r>
        <w:rPr>
          <w:rFonts w:ascii="楷体_GB2312" w:hAnsi="楷体_GB2312" w:eastAsia="楷体_GB2312" w:cs="楷体_GB2312"/>
          <w:i w:val="0"/>
          <w:strike w:val="0"/>
          <w:color w:val="000000"/>
          <w:spacing w:val="0"/>
          <w:sz w:val="32"/>
          <w:highlight w:val="none"/>
          <w:u w:val="none"/>
          <w:lang w:val="en-US" w:eastAsia="zh-CN"/>
        </w:rPr>
        <w:t>提升智慧精准救助水平</w:t>
      </w:r>
      <w:bookmarkEnd w:id="80"/>
    </w:p>
    <w:p w14:paraId="7E831BBF">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以“人工智能+社会救助”为牵引，构建全链条智慧救助服务体系，推动救助服务向更智能、更精准、更温暖、更高效升级。</w:t>
      </w:r>
    </w:p>
    <w:p w14:paraId="507FFE1C">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构建智能救助平台体系。</w:t>
      </w:r>
      <w:r>
        <w:rPr>
          <w:rFonts w:hint="default" w:ascii="仿宋_GB2312" w:hAnsi="仿宋_GB2312" w:eastAsia="仿宋_GB2312" w:cs="仿宋_GB2312"/>
          <w:i w:val="0"/>
          <w:strike w:val="0"/>
          <w:color w:val="000000"/>
          <w:sz w:val="32"/>
          <w:highlight w:val="none"/>
          <w:u w:val="none"/>
        </w:rPr>
        <w:t>全面推进“宝安区综合救助服务平台”运行，整合民政、教育、住建、公安、城管等多部门政策资源，逐步实现跨部门信息共享与业务协同。同步优化智慧安置服务与管理系统，借助物联感知设备实时掌握救助对象健康与动态信息。健全监测预警与主动发现机制。建立低收入人口动态监测库及多维指标体系，深化“区-街-社”三级联动机制。依托“双百”社工常态化走访，结合“大数据比对+铁脚板摸排”，对</w:t>
      </w:r>
      <w:r>
        <w:rPr>
          <w:rFonts w:hint="eastAsia" w:ascii="仿宋_GB2312" w:hAnsi="仿宋_GB2312" w:eastAsia="仿宋_GB2312" w:cs="仿宋_GB2312"/>
          <w:i w:val="0"/>
          <w:strike w:val="0"/>
          <w:color w:val="000000"/>
          <w:sz w:val="32"/>
          <w:highlight w:val="none"/>
          <w:u w:val="none"/>
          <w:lang w:val="en-US" w:eastAsia="zh-CN"/>
        </w:rPr>
        <w:t>部分</w:t>
      </w:r>
      <w:r>
        <w:rPr>
          <w:rFonts w:hint="default" w:ascii="仿宋_GB2312" w:hAnsi="仿宋_GB2312" w:eastAsia="仿宋_GB2312" w:cs="仿宋_GB2312"/>
          <w:i w:val="0"/>
          <w:strike w:val="0"/>
          <w:color w:val="000000"/>
          <w:sz w:val="32"/>
          <w:highlight w:val="none"/>
          <w:u w:val="none"/>
        </w:rPr>
        <w:t>风险进行即时核查和精准识别。强化与公安、城管等部门的协同巡查，完善“快速发现-响应-处置”机制。</w:t>
      </w:r>
      <w:r>
        <w:rPr>
          <w:rFonts w:hint="default" w:ascii="仿宋_GB2312" w:hAnsi="仿宋_GB2312" w:eastAsia="仿宋_GB2312" w:cs="仿宋_GB2312"/>
          <w:b/>
          <w:bCs/>
          <w:i w:val="0"/>
          <w:strike w:val="0"/>
          <w:color w:val="000000"/>
          <w:sz w:val="32"/>
          <w:highlight w:val="none"/>
          <w:u w:val="none"/>
        </w:rPr>
        <w:t>推行救助服务闭环与精细管理。</w:t>
      </w:r>
      <w:r>
        <w:rPr>
          <w:rFonts w:hint="default" w:ascii="仿宋_GB2312" w:hAnsi="仿宋_GB2312" w:eastAsia="仿宋_GB2312" w:cs="仿宋_GB2312"/>
          <w:i w:val="0"/>
          <w:strike w:val="0"/>
          <w:color w:val="000000"/>
          <w:sz w:val="32"/>
          <w:highlight w:val="none"/>
          <w:u w:val="none"/>
        </w:rPr>
        <w:t>推动救助服务“一站式”闭环，实现群众诉求智能匹配、流浪乞讨等线索“随手拍”快速响应。深入实施“双百工程”，以数据驱动完成科学评估、计划定制、资源链接与服务跟进，筑牢兜底保障数字防线。</w:t>
      </w:r>
    </w:p>
    <w:p w14:paraId="6DCDB9D5">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rFonts w:ascii="楷体_GB2312" w:hAnsi="楷体_GB2312" w:eastAsia="楷体_GB2312" w:cs="楷体_GB2312"/>
          <w:i w:val="0"/>
          <w:strike w:val="0"/>
          <w:color w:val="000000"/>
          <w:spacing w:val="0"/>
          <w:sz w:val="32"/>
          <w:highlight w:val="none"/>
          <w:u w:val="none"/>
        </w:rPr>
      </w:pPr>
      <w:bookmarkStart w:id="81" w:name="_Toc17005"/>
      <w:bookmarkStart w:id="82" w:name="_Toc24519"/>
      <w:r>
        <w:rPr>
          <w:rFonts w:ascii="楷体_GB2312" w:hAnsi="楷体_GB2312" w:eastAsia="楷体_GB2312" w:cs="楷体_GB2312"/>
          <w:i w:val="0"/>
          <w:strike w:val="0"/>
          <w:color w:val="000000"/>
          <w:spacing w:val="0"/>
          <w:sz w:val="32"/>
          <w:highlight w:val="none"/>
          <w:u w:val="none"/>
        </w:rPr>
        <w:t>（三）</w:t>
      </w:r>
      <w:r>
        <w:rPr>
          <w:rFonts w:ascii="楷体_GB2312" w:hAnsi="楷体_GB2312" w:eastAsia="楷体_GB2312" w:cs="楷体_GB2312"/>
          <w:i w:val="0"/>
          <w:strike w:val="0"/>
          <w:color w:val="000000"/>
          <w:spacing w:val="0"/>
          <w:sz w:val="32"/>
          <w:highlight w:val="none"/>
          <w:u w:val="none"/>
          <w:lang w:val="en-US" w:eastAsia="zh-CN"/>
        </w:rPr>
        <w:t>引导社会力量协同参与</w:t>
      </w:r>
      <w:bookmarkEnd w:id="81"/>
    </w:p>
    <w:bookmarkEnd w:id="82"/>
    <w:p w14:paraId="6FAB739D">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坚持政府救助主体地位，积极引导慈善组织、社会组织、爱心企业及志愿服务力量等多元主体参与，构建“物质+服务+关爱”综合救助模式。</w:t>
      </w:r>
    </w:p>
    <w:p w14:paraId="15DC8A4B">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构建多元协同救助格局。</w:t>
      </w:r>
      <w:r>
        <w:rPr>
          <w:rFonts w:hint="default" w:ascii="仿宋_GB2312" w:hAnsi="仿宋_GB2312" w:eastAsia="仿宋_GB2312" w:cs="仿宋_GB2312"/>
          <w:i w:val="0"/>
          <w:strike w:val="0"/>
          <w:color w:val="000000"/>
          <w:sz w:val="32"/>
          <w:highlight w:val="none"/>
          <w:u w:val="none"/>
        </w:rPr>
        <w:t>持续打造“爱满宝安-暖城计划”协同品牌，链接企业及社会组织资源，常态化开展物资捐赠与志愿服务。统筹整合志愿服务力量，强化政策协同与资源对接，构建涵盖精准识别、快速响应与多维帮扶的“大救助”体系。</w:t>
      </w:r>
      <w:r>
        <w:rPr>
          <w:rFonts w:hint="default" w:ascii="仿宋_GB2312" w:hAnsi="仿宋_GB2312" w:eastAsia="仿宋_GB2312" w:cs="仿宋_GB2312"/>
          <w:b/>
          <w:bCs/>
          <w:i w:val="0"/>
          <w:strike w:val="0"/>
          <w:color w:val="000000"/>
          <w:sz w:val="32"/>
          <w:highlight w:val="none"/>
          <w:u w:val="none"/>
        </w:rPr>
        <w:t>推动社会资本参与风险前置保障。</w:t>
      </w:r>
      <w:r>
        <w:rPr>
          <w:rFonts w:hint="default" w:ascii="仿宋_GB2312" w:hAnsi="仿宋_GB2312" w:eastAsia="仿宋_GB2312" w:cs="仿宋_GB2312"/>
          <w:i w:val="0"/>
          <w:strike w:val="0"/>
          <w:color w:val="000000"/>
          <w:sz w:val="32"/>
          <w:highlight w:val="none"/>
          <w:u w:val="none"/>
        </w:rPr>
        <w:t>支持保险公司开发面向困难群体的保障性保险产品，推动社会救助从“事后兜底”向“关口前移”延伸。</w:t>
      </w:r>
      <w:r>
        <w:rPr>
          <w:rFonts w:hint="default" w:ascii="仿宋_GB2312" w:hAnsi="仿宋_GB2312" w:eastAsia="仿宋_GB2312" w:cs="仿宋_GB2312"/>
          <w:b/>
          <w:bCs/>
          <w:i w:val="0"/>
          <w:strike w:val="0"/>
          <w:color w:val="000000"/>
          <w:sz w:val="32"/>
          <w:highlight w:val="none"/>
          <w:u w:val="none"/>
          <w:lang w:val="en-US" w:eastAsia="zh-CN"/>
        </w:rPr>
        <w:t>提升社会力量参与整体效能。</w:t>
      </w:r>
      <w:r>
        <w:rPr>
          <w:rFonts w:hint="default" w:ascii="仿宋_GB2312" w:hAnsi="仿宋_GB2312" w:eastAsia="仿宋_GB2312" w:cs="仿宋_GB2312"/>
          <w:i w:val="0"/>
          <w:strike w:val="0"/>
          <w:color w:val="000000"/>
          <w:sz w:val="32"/>
          <w:highlight w:val="none"/>
          <w:u w:val="none"/>
        </w:rPr>
        <w:t>深化寻亲合作与安置服务，借助信息共享与技术赋能，保持“低滞留率、高周转率”运行状态，不断强化社会力量在精准救助中补充作用。</w:t>
      </w:r>
    </w:p>
    <w:p w14:paraId="32B6EC1A">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83" w:name="_Toc3499"/>
      <w:bookmarkStart w:id="84" w:name="_Toc21468"/>
      <w:r>
        <w:rPr>
          <w:rFonts w:ascii="楷体_GB2312" w:hAnsi="楷体_GB2312" w:eastAsia="楷体_GB2312" w:cs="楷体_GB2312"/>
          <w:i w:val="0"/>
          <w:strike w:val="0"/>
          <w:color w:val="000000"/>
          <w:spacing w:val="0"/>
          <w:sz w:val="32"/>
          <w:highlight w:val="none"/>
          <w:u w:val="none"/>
        </w:rPr>
        <w:t>（四）</w:t>
      </w:r>
      <w:bookmarkEnd w:id="83"/>
      <w:r>
        <w:rPr>
          <w:rFonts w:ascii="楷体_GB2312" w:hAnsi="楷体_GB2312" w:eastAsia="楷体_GB2312" w:cs="楷体_GB2312"/>
          <w:i w:val="0"/>
          <w:strike w:val="0"/>
          <w:color w:val="000000"/>
          <w:spacing w:val="0"/>
          <w:sz w:val="32"/>
          <w:highlight w:val="none"/>
          <w:u w:val="none"/>
          <w:lang w:val="en-US" w:eastAsia="zh-CN"/>
        </w:rPr>
        <w:t>强化流浪乞讨救助管理</w:t>
      </w:r>
      <w:bookmarkEnd w:id="84"/>
    </w:p>
    <w:p w14:paraId="086367E5">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strike w:val="0"/>
          <w:color w:val="000000"/>
          <w:sz w:val="32"/>
          <w:highlight w:val="none"/>
          <w:u w:val="none"/>
          <w:shd w:val="clear" w:color="auto" w:fill="auto"/>
        </w:rPr>
      </w:pPr>
      <w:r>
        <w:rPr>
          <w:rFonts w:hint="default" w:ascii="仿宋_GB2312" w:hAnsi="仿宋_GB2312" w:eastAsia="仿宋_GB2312" w:cs="仿宋_GB2312"/>
          <w:i w:val="0"/>
          <w:strike w:val="0"/>
          <w:color w:val="000000"/>
          <w:sz w:val="32"/>
          <w:highlight w:val="none"/>
          <w:u w:val="none"/>
          <w:shd w:val="clear" w:color="auto" w:fill="auto"/>
        </w:rPr>
        <w:t>推动建立“事前预防+多元救助+源头治理”综合机制，实现从被动处置向主动服务、从单一物质救助向全方位帮扶转变。</w:t>
      </w:r>
    </w:p>
    <w:p w14:paraId="4DBD819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strike w:val="0"/>
          <w:color w:val="000000"/>
          <w:sz w:val="32"/>
          <w:highlight w:val="none"/>
          <w:u w:val="none"/>
          <w:shd w:val="clear" w:color="auto" w:fill="auto"/>
        </w:rPr>
      </w:pPr>
      <w:r>
        <w:rPr>
          <w:rFonts w:hint="default" w:ascii="仿宋_GB2312" w:hAnsi="仿宋_GB2312" w:eastAsia="仿宋_GB2312" w:cs="仿宋_GB2312"/>
          <w:b/>
          <w:bCs/>
          <w:i w:val="0"/>
          <w:strike w:val="0"/>
          <w:color w:val="000000"/>
          <w:sz w:val="32"/>
          <w:highlight w:val="none"/>
          <w:u w:val="none"/>
          <w:shd w:val="clear" w:color="auto" w:fill="auto"/>
        </w:rPr>
        <w:t>完善智慧巡查与快速响应体系。</w:t>
      </w:r>
      <w:r>
        <w:rPr>
          <w:rFonts w:hint="default" w:ascii="仿宋_GB2312" w:hAnsi="仿宋_GB2312" w:eastAsia="仿宋_GB2312" w:cs="仿宋_GB2312"/>
          <w:i w:val="0"/>
          <w:strike w:val="0"/>
          <w:color w:val="000000"/>
          <w:sz w:val="32"/>
          <w:highlight w:val="none"/>
          <w:u w:val="none"/>
          <w:shd w:val="clear" w:color="auto" w:fill="auto"/>
        </w:rPr>
        <w:t>依托现有视频监控资源，建立街面流浪人员高频出现区域主题库，提升智能识别与快速处置能力。拓展站外智慧救助巡查覆盖范围，健全与公安、城管等部门的街面协同巡查与联动处置机制，发挥民政服务机构“哨点”作用，构建多渠道发现、综合性救助的服务网络。</w:t>
      </w:r>
      <w:r>
        <w:rPr>
          <w:rFonts w:hint="default" w:ascii="仿宋_GB2312" w:hAnsi="仿宋_GB2312" w:eastAsia="仿宋_GB2312" w:cs="仿宋_GB2312"/>
          <w:b/>
          <w:bCs/>
          <w:i w:val="0"/>
          <w:strike w:val="0"/>
          <w:color w:val="000000"/>
          <w:sz w:val="32"/>
          <w:highlight w:val="none"/>
          <w:u w:val="none"/>
          <w:shd w:val="clear" w:color="auto" w:fill="auto"/>
        </w:rPr>
        <w:t>强化身份核查与跨域协作。</w:t>
      </w:r>
      <w:r>
        <w:rPr>
          <w:rFonts w:hint="default" w:ascii="仿宋_GB2312" w:hAnsi="仿宋_GB2312" w:eastAsia="仿宋_GB2312" w:cs="仿宋_GB2312"/>
          <w:i w:val="0"/>
          <w:strike w:val="0"/>
          <w:color w:val="000000"/>
          <w:sz w:val="32"/>
          <w:highlight w:val="none"/>
          <w:u w:val="none"/>
          <w:shd w:val="clear" w:color="auto" w:fill="auto"/>
        </w:rPr>
        <w:t>借助人脸识别、DNA比对等科技手段，提升寻亲帮扶与身份核验效率。积极对接流出地政府，共同制定针对性劝导及返乡安置方案。推动疑似职业乞讨人员信息移交公安部门开展背景调查，通过救助转介函、政策帮扶、跟踪回访等机制强化源头治理，努力破解“屡送屡返”难题。</w:t>
      </w:r>
      <w:r>
        <w:rPr>
          <w:rFonts w:hint="default" w:ascii="仿宋_GB2312" w:hAnsi="仿宋_GB2312" w:eastAsia="仿宋_GB2312" w:cs="仿宋_GB2312"/>
          <w:b/>
          <w:bCs/>
          <w:i w:val="0"/>
          <w:strike w:val="0"/>
          <w:color w:val="000000"/>
          <w:sz w:val="32"/>
          <w:highlight w:val="none"/>
          <w:u w:val="none"/>
          <w:shd w:val="clear" w:color="auto" w:fill="auto"/>
        </w:rPr>
        <w:t>深化医疗与社会化救助服务。</w:t>
      </w:r>
      <w:r>
        <w:rPr>
          <w:rFonts w:hint="default" w:ascii="仿宋_GB2312" w:hAnsi="仿宋_GB2312" w:eastAsia="仿宋_GB2312" w:cs="仿宋_GB2312"/>
          <w:i w:val="0"/>
          <w:strike w:val="0"/>
          <w:color w:val="000000"/>
          <w:sz w:val="32"/>
          <w:highlight w:val="none"/>
          <w:u w:val="none"/>
          <w:shd w:val="clear" w:color="auto" w:fill="auto"/>
        </w:rPr>
        <w:t>持续推进“医站合作”，针对长期滞留及特殊困难受助人员，落实“一人一策”专业医疗与护理服务方案，确保救助服务覆盖到位、保障有力。</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4FFD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57E98E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3</w:t>
            </w:r>
            <w:r>
              <w:rPr>
                <w:rFonts w:eastAsia="仿宋_GB2312" w:cs="Times New Roman"/>
                <w:b/>
                <w:bCs/>
                <w:kern w:val="0"/>
                <w:sz w:val="28"/>
                <w:szCs w:val="28"/>
              </w:rPr>
              <w:t xml:space="preserve">  精准救助能力提升工程</w:t>
            </w:r>
          </w:p>
        </w:tc>
      </w:tr>
      <w:tr w14:paraId="750B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14:paraId="3F7597D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智慧救助平台建设</w:t>
            </w:r>
            <w:r>
              <w:rPr>
                <w:rFonts w:hint="eastAsia" w:eastAsia="仿宋_GB2312" w:cs="Times New Roman"/>
                <w:b/>
                <w:bCs/>
                <w:kern w:val="0"/>
                <w:sz w:val="28"/>
                <w:szCs w:val="28"/>
                <w:lang w:val="en-US" w:eastAsia="zh-CN"/>
              </w:rPr>
              <w:t>升级</w:t>
            </w:r>
            <w:r>
              <w:rPr>
                <w:rFonts w:hint="eastAsia" w:eastAsia="仿宋_GB2312" w:cs="Times New Roman"/>
                <w:b/>
                <w:bCs/>
                <w:kern w:val="0"/>
                <w:sz w:val="28"/>
                <w:szCs w:val="28"/>
              </w:rPr>
              <w:t>工程。</w:t>
            </w:r>
            <w:r>
              <w:rPr>
                <w:rFonts w:hint="eastAsia" w:eastAsia="仿宋_GB2312" w:cs="Times New Roman"/>
                <w:kern w:val="0"/>
                <w:sz w:val="28"/>
                <w:szCs w:val="28"/>
              </w:rPr>
              <w:t>全面整合养老、救助、残疾人福利等民政业务系统，打通跨部门数据壁垒，构建民政服务“一网统管”体系。开发政策智能匹配引擎，实现养老津贴、残疾人两项补贴等常规性福利政策智能识别、精准推送、便捷申办。集成AI客服与政策问答系统提供在线咨询，应用“政策计算器”“服务地图”实现个性化服务精准匹配，推动“人找政策”向“政策找人”全面升级。</w:t>
            </w:r>
          </w:p>
          <w:p w14:paraId="22ABFD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kern w:val="0"/>
                <w:sz w:val="28"/>
                <w:szCs w:val="28"/>
              </w:rPr>
              <w:t>建立低收入人口动态监测数据库及多维指标体系，整合分散政策形成标准化资源库，支持市民自主查询或填报需求实时获</w:t>
            </w:r>
            <w:r>
              <w:rPr>
                <w:rFonts w:hint="eastAsia" w:eastAsia="仿宋_GB2312" w:cs="Times New Roman"/>
                <w:kern w:val="0"/>
                <w:sz w:val="28"/>
                <w:szCs w:val="28"/>
                <w:lang w:eastAsia="zh-CN"/>
              </w:rPr>
              <w:t>取和</w:t>
            </w:r>
            <w:r>
              <w:rPr>
                <w:rFonts w:hint="eastAsia" w:eastAsia="仿宋_GB2312" w:cs="Times New Roman"/>
                <w:kern w:val="0"/>
                <w:sz w:val="28"/>
                <w:szCs w:val="28"/>
              </w:rPr>
              <w:t>精准推送。深化“大数据比对+铁脚板摸排”双线联动机制，对</w:t>
            </w:r>
            <w:r>
              <w:rPr>
                <w:rFonts w:hint="eastAsia" w:eastAsia="仿宋_GB2312" w:cs="Times New Roman"/>
                <w:kern w:val="0"/>
                <w:sz w:val="28"/>
                <w:szCs w:val="28"/>
                <w:lang w:val="en-US" w:eastAsia="zh-CN"/>
              </w:rPr>
              <w:t>部分</w:t>
            </w:r>
            <w:r>
              <w:rPr>
                <w:rFonts w:hint="eastAsia" w:eastAsia="仿宋_GB2312" w:cs="Times New Roman"/>
                <w:kern w:val="0"/>
                <w:sz w:val="28"/>
                <w:szCs w:val="28"/>
              </w:rPr>
              <w:t>风险进行即时核查和主动预警。完善“区-街-社”三级联动响应机制，确保低收入居民救助保障覆盖率保持100%。优化急难型救助申请流程，探索推行“便捷申请、快速审批”机制，确保在规定时限内完成审批并发放救助资金。创新“随手拍”社会参与功能，联动街面巡查人员迅速完成流浪乞讨线索“定位-核实-处置”闭环。构建“智能匹配+动态感知+快速响应”全链条救助服务机制，全面提升精准救助效能。</w:t>
            </w:r>
          </w:p>
          <w:p w14:paraId="06567D6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rPr>
              <w:t>救助政策创新</w:t>
            </w:r>
            <w:r>
              <w:rPr>
                <w:rFonts w:hint="eastAsia" w:eastAsia="仿宋_GB2312" w:cs="Times New Roman"/>
                <w:b/>
                <w:bCs/>
                <w:kern w:val="0"/>
                <w:sz w:val="28"/>
                <w:szCs w:val="28"/>
                <w:lang w:val="en-US" w:eastAsia="zh-CN"/>
              </w:rPr>
              <w:t>突破</w:t>
            </w:r>
            <w:r>
              <w:rPr>
                <w:rFonts w:hint="eastAsia" w:eastAsia="仿宋_GB2312" w:cs="Times New Roman"/>
                <w:b/>
                <w:bCs/>
                <w:kern w:val="0"/>
                <w:sz w:val="28"/>
                <w:szCs w:val="28"/>
              </w:rPr>
              <w:t>工程。</w:t>
            </w:r>
            <w:r>
              <w:rPr>
                <w:rFonts w:hint="eastAsia" w:eastAsia="仿宋_GB2312" w:cs="Times New Roman"/>
                <w:kern w:val="0"/>
                <w:sz w:val="28"/>
                <w:szCs w:val="28"/>
              </w:rPr>
              <w:t>结合宝安区实际，编制发布“流浪乞讨救助标准化手册”，规范身份核查、医疗救助、返乡衔接等关键流程。探索将救助服务向发展型帮扶延伸，推动“物质+服务”综合救助模式落地</w:t>
            </w:r>
            <w:r>
              <w:rPr>
                <w:rFonts w:hint="eastAsia" w:eastAsia="仿宋_GB2312" w:cs="Times New Roman"/>
                <w:kern w:val="0"/>
                <w:sz w:val="28"/>
                <w:szCs w:val="28"/>
                <w:lang w:eastAsia="zh-CN"/>
              </w:rPr>
              <w:t>。</w:t>
            </w:r>
          </w:p>
        </w:tc>
      </w:tr>
    </w:tbl>
    <w:p w14:paraId="22E6AF40">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i w:val="0"/>
          <w:strike w:val="0"/>
          <w:color w:val="000000"/>
          <w:spacing w:val="0"/>
          <w:sz w:val="32"/>
          <w:highlight w:val="none"/>
          <w:u w:val="none"/>
        </w:rPr>
      </w:pPr>
      <w:bookmarkStart w:id="85" w:name="_Toc27710"/>
      <w:bookmarkStart w:id="86" w:name="_Toc26974"/>
      <w:r>
        <w:rPr>
          <w:rFonts w:hint="eastAsia" w:ascii="黑体" w:hAnsi="黑体" w:eastAsia="黑体" w:cs="黑体"/>
          <w:i w:val="0"/>
          <w:strike w:val="0"/>
          <w:color w:val="000000"/>
          <w:spacing w:val="0"/>
          <w:sz w:val="32"/>
          <w:highlight w:val="none"/>
          <w:u w:val="none"/>
          <w:lang w:val="en-US" w:eastAsia="zh-CN"/>
        </w:rPr>
        <w:t>三、</w:t>
      </w:r>
      <w:bookmarkEnd w:id="85"/>
      <w:r>
        <w:rPr>
          <w:rFonts w:hint="eastAsia" w:ascii="黑体" w:hAnsi="黑体" w:eastAsia="黑体" w:cs="黑体"/>
          <w:i w:val="0"/>
          <w:strike w:val="0"/>
          <w:color w:val="000000"/>
          <w:spacing w:val="0"/>
          <w:sz w:val="32"/>
          <w:highlight w:val="none"/>
          <w:u w:val="none"/>
          <w:lang w:val="en-US" w:eastAsia="zh-CN"/>
        </w:rPr>
        <w:t>完善现代儿童福利保障体系</w:t>
      </w:r>
      <w:bookmarkEnd w:id="86"/>
    </w:p>
    <w:p w14:paraId="69D788F9">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hint="eastAsia" w:ascii="仿宋_GB2312" w:hAnsi="仿宋_GB2312" w:eastAsia="仿宋_GB2312" w:cs="仿宋_GB2312"/>
          <w:i w:val="0"/>
          <w:strike w:val="0"/>
          <w:color w:val="000000"/>
          <w:sz w:val="32"/>
          <w:highlight w:val="none"/>
          <w:u w:val="none"/>
        </w:rPr>
      </w:pPr>
      <w:r>
        <w:rPr>
          <w:rFonts w:hint="eastAsia" w:ascii="仿宋_GB2312" w:hAnsi="仿宋_GB2312" w:eastAsia="仿宋_GB2312" w:cs="仿宋_GB2312"/>
          <w:i w:val="0"/>
          <w:strike w:val="0"/>
          <w:color w:val="000000"/>
          <w:sz w:val="32"/>
          <w:highlight w:val="none"/>
          <w:u w:val="none"/>
        </w:rPr>
        <w:t>立足宝安超大型城区人口结构特征，衔接“十四五”时期困境儿童关爱服务试点基础，加快构建与区域经济社会发展水平相适应、与民生幸福标杆城区定位相匹配的精准普惠型现代儿童福利制度。推动儿童福利从“补缺”向“适度普惠”、从“物质保障”向“物质+服务+发展”综合保障转型，</w:t>
      </w:r>
      <w:r>
        <w:rPr>
          <w:rFonts w:hint="eastAsia" w:ascii="仿宋_GB2312" w:hAnsi="仿宋_GB2312" w:eastAsia="仿宋_GB2312" w:cs="仿宋_GB2312"/>
          <w:i w:val="0"/>
          <w:strike w:val="0"/>
          <w:color w:val="000000"/>
          <w:sz w:val="32"/>
          <w:highlight w:val="none"/>
          <w:u w:val="none"/>
          <w:lang w:val="en-US" w:eastAsia="zh-CN"/>
        </w:rPr>
        <w:t>建立健全分层分类、专业高效的困境儿童关爱服务体系。</w:t>
      </w:r>
    </w:p>
    <w:p w14:paraId="18CF2329">
      <w:pPr>
        <w:pStyle w:val="7"/>
        <w:keepNext/>
        <w:keepLines/>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outlineLvl w:val="1"/>
        <w:rPr>
          <w:color w:val="000000"/>
          <w:highlight w:val="none"/>
        </w:rPr>
      </w:pPr>
      <w:bookmarkStart w:id="87" w:name="_Toc6236"/>
      <w:r>
        <w:rPr>
          <w:rFonts w:ascii="楷体_GB2312" w:hAnsi="楷体_GB2312" w:eastAsia="楷体_GB2312" w:cs="楷体_GB2312"/>
          <w:b w:val="0"/>
          <w:bCs/>
          <w:i w:val="0"/>
          <w:strike w:val="0"/>
          <w:color w:val="000000"/>
          <w:spacing w:val="0"/>
          <w:sz w:val="32"/>
          <w:highlight w:val="none"/>
          <w:u w:val="none"/>
        </w:rPr>
        <w:t>（一）</w:t>
      </w:r>
      <w:r>
        <w:rPr>
          <w:rFonts w:hint="eastAsia" w:ascii="楷体_GB2312" w:hAnsi="楷体_GB2312" w:eastAsia="楷体_GB2312" w:cs="楷体_GB2312"/>
          <w:b w:val="0"/>
          <w:bCs/>
          <w:i w:val="0"/>
          <w:strike w:val="0"/>
          <w:color w:val="000000"/>
          <w:spacing w:val="0"/>
          <w:sz w:val="32"/>
          <w:highlight w:val="none"/>
          <w:u w:val="none"/>
        </w:rPr>
        <w:t>夯实困境儿童关爱服务基础支撑</w:t>
      </w:r>
      <w:bookmarkEnd w:id="87"/>
    </w:p>
    <w:p w14:paraId="3DEB53A0">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pacing w:val="0"/>
          <w:sz w:val="32"/>
          <w:highlight w:val="none"/>
          <w:u w:val="none"/>
          <w:lang w:val="en-US" w:eastAsia="zh-CN"/>
        </w:rPr>
      </w:pPr>
      <w:r>
        <w:rPr>
          <w:rFonts w:hint="default" w:ascii="仿宋_GB2312" w:hAnsi="仿宋_GB2312" w:eastAsia="仿宋_GB2312" w:cs="仿宋_GB2312"/>
          <w:i w:val="0"/>
          <w:strike w:val="0"/>
          <w:color w:val="000000"/>
          <w:spacing w:val="0"/>
          <w:sz w:val="32"/>
          <w:highlight w:val="none"/>
          <w:u w:val="none"/>
          <w:lang w:val="en-US" w:eastAsia="zh-CN"/>
        </w:rPr>
        <w:t>健全“区-街道-社区”三级联动、资源共享的未成年人</w:t>
      </w:r>
      <w:r>
        <w:rPr>
          <w:rFonts w:hint="eastAsia" w:ascii="仿宋_GB2312" w:hAnsi="仿宋_GB2312" w:eastAsia="仿宋_GB2312" w:cs="仿宋_GB2312"/>
          <w:i w:val="0"/>
          <w:strike w:val="0"/>
          <w:color w:val="000000"/>
          <w:spacing w:val="0"/>
          <w:sz w:val="32"/>
          <w:highlight w:val="none"/>
          <w:u w:val="none"/>
          <w:lang w:val="en-US" w:eastAsia="zh-CN"/>
        </w:rPr>
        <w:t>救助服务</w:t>
      </w:r>
      <w:r>
        <w:rPr>
          <w:rFonts w:hint="default" w:ascii="仿宋_GB2312" w:hAnsi="仿宋_GB2312" w:eastAsia="仿宋_GB2312" w:cs="仿宋_GB2312"/>
          <w:i w:val="0"/>
          <w:strike w:val="0"/>
          <w:color w:val="000000"/>
          <w:spacing w:val="0"/>
          <w:sz w:val="32"/>
          <w:highlight w:val="none"/>
          <w:u w:val="none"/>
          <w:lang w:val="en-US" w:eastAsia="zh-CN"/>
        </w:rPr>
        <w:t>网络，筑牢基层服务阵地。</w:t>
      </w:r>
    </w:p>
    <w:p w14:paraId="4D17830D">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ascii="仿宋_GB2312" w:hAnsi="仿宋_GB2312" w:eastAsia="仿宋_GB2312" w:cs="仿宋_GB2312"/>
          <w:i w:val="0"/>
          <w:strike w:val="0"/>
          <w:color w:val="000000"/>
          <w:spacing w:val="0"/>
          <w:sz w:val="32"/>
          <w:highlight w:val="none"/>
          <w:u w:val="none"/>
          <w:lang w:val="en-US" w:eastAsia="zh-CN"/>
        </w:rPr>
      </w:pPr>
      <w:r>
        <w:rPr>
          <w:rFonts w:hint="default" w:ascii="仿宋_GB2312" w:hAnsi="仿宋_GB2312" w:eastAsia="仿宋_GB2312" w:cs="仿宋_GB2312"/>
          <w:b/>
          <w:bCs/>
          <w:i w:val="0"/>
          <w:strike w:val="0"/>
          <w:color w:val="000000"/>
          <w:spacing w:val="0"/>
          <w:sz w:val="32"/>
          <w:highlight w:val="none"/>
          <w:u w:val="none"/>
          <w:lang w:val="en-US" w:eastAsia="zh-CN"/>
        </w:rPr>
        <w:t>建强基层保护服务阵地。</w:t>
      </w:r>
      <w:r>
        <w:rPr>
          <w:rFonts w:hint="default" w:ascii="仿宋_GB2312" w:hAnsi="仿宋_GB2312" w:eastAsia="仿宋_GB2312" w:cs="仿宋_GB2312"/>
          <w:i w:val="0"/>
          <w:strike w:val="0"/>
          <w:color w:val="000000"/>
          <w:spacing w:val="0"/>
          <w:sz w:val="32"/>
          <w:highlight w:val="none"/>
          <w:u w:val="none"/>
          <w:lang w:val="en-US" w:eastAsia="zh-CN"/>
        </w:rPr>
        <w:t>推动区未成年人救助保护中心规范化、专业化发展，支持街道未成年人保护工作站标准化建设，形成多级联动、功能互补的基层关爱服务枢纽</w:t>
      </w:r>
      <w:r>
        <w:rPr>
          <w:rFonts w:hint="eastAsia" w:ascii="仿宋_GB2312" w:hAnsi="仿宋_GB2312" w:eastAsia="仿宋_GB2312" w:cs="仿宋_GB2312"/>
          <w:i w:val="0"/>
          <w:strike w:val="0"/>
          <w:color w:val="000000"/>
          <w:spacing w:val="0"/>
          <w:sz w:val="32"/>
          <w:highlight w:val="none"/>
          <w:u w:val="none"/>
          <w:lang w:val="en-US" w:eastAsia="zh-CN"/>
        </w:rPr>
        <w:t>。</w:t>
      </w:r>
      <w:r>
        <w:rPr>
          <w:rFonts w:hint="default" w:ascii="仿宋_GB2312" w:hAnsi="仿宋_GB2312" w:eastAsia="仿宋_GB2312" w:cs="仿宋_GB2312"/>
          <w:b/>
          <w:bCs/>
          <w:i w:val="0"/>
          <w:strike w:val="0"/>
          <w:color w:val="000000"/>
          <w:spacing w:val="0"/>
          <w:sz w:val="32"/>
          <w:highlight w:val="none"/>
          <w:u w:val="none"/>
          <w:lang w:val="en-US" w:eastAsia="zh-CN"/>
        </w:rPr>
        <w:t>提升基层队伍专业能力。</w:t>
      </w:r>
      <w:r>
        <w:rPr>
          <w:rFonts w:hint="default" w:ascii="仿宋_GB2312" w:hAnsi="仿宋_GB2312" w:eastAsia="仿宋_GB2312" w:cs="仿宋_GB2312"/>
          <w:i w:val="0"/>
          <w:strike w:val="0"/>
          <w:color w:val="000000"/>
          <w:spacing w:val="0"/>
          <w:sz w:val="32"/>
          <w:highlight w:val="none"/>
          <w:u w:val="none"/>
          <w:lang w:val="en-US" w:eastAsia="zh-CN"/>
        </w:rPr>
        <w:t>围绕困境儿童识别、风险评估、服务介入等核心技能，加强儿童督导员、儿童主任及未保机构工作人员的系统化、梯队化培训，打造一支业务精通、扎根基层的专业队伍。</w:t>
      </w:r>
      <w:r>
        <w:rPr>
          <w:rFonts w:hint="default" w:ascii="仿宋_GB2312" w:hAnsi="仿宋_GB2312" w:eastAsia="仿宋_GB2312" w:cs="仿宋_GB2312"/>
          <w:b/>
          <w:bCs/>
          <w:i w:val="0"/>
          <w:strike w:val="0"/>
          <w:color w:val="000000"/>
          <w:spacing w:val="0"/>
          <w:sz w:val="32"/>
          <w:highlight w:val="none"/>
          <w:u w:val="none"/>
          <w:lang w:val="en-US" w:eastAsia="zh-CN"/>
        </w:rPr>
        <w:t>推动儿童福利机构优化提质。</w:t>
      </w:r>
      <w:r>
        <w:rPr>
          <w:rFonts w:hint="default" w:ascii="仿宋_GB2312" w:hAnsi="仿宋_GB2312" w:eastAsia="仿宋_GB2312" w:cs="仿宋_GB2312"/>
          <w:i w:val="0"/>
          <w:strike w:val="0"/>
          <w:color w:val="000000"/>
          <w:spacing w:val="0"/>
          <w:sz w:val="32"/>
          <w:highlight w:val="none"/>
          <w:u w:val="none"/>
          <w:lang w:val="en-US" w:eastAsia="zh-CN"/>
        </w:rPr>
        <w:t>支持儿童福利机构“开门办院”，拓宽服务半径，为有需要的院外儿童提供临时照护、康复特教、心理疏导等延伸服务。健全家庭尽责、政府主导、社会参与的工作机制，广泛动员专业社会力量参与困境儿童关爱服务。</w:t>
      </w:r>
    </w:p>
    <w:p w14:paraId="5171AF78">
      <w:pPr>
        <w:pStyle w:val="7"/>
        <w:keepNext/>
        <w:keepLines/>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outlineLvl w:val="1"/>
        <w:rPr>
          <w:color w:val="000000"/>
          <w:highlight w:val="none"/>
        </w:rPr>
      </w:pPr>
      <w:bookmarkStart w:id="88" w:name="_Toc5636"/>
      <w:r>
        <w:rPr>
          <w:rFonts w:ascii="楷体_GB2312" w:hAnsi="楷体_GB2312" w:eastAsia="楷体_GB2312" w:cs="楷体_GB2312"/>
          <w:b w:val="0"/>
          <w:bCs/>
          <w:i w:val="0"/>
          <w:strike w:val="0"/>
          <w:color w:val="000000"/>
          <w:spacing w:val="0"/>
          <w:sz w:val="32"/>
          <w:highlight w:val="none"/>
          <w:u w:val="none"/>
        </w:rPr>
        <w:t>（</w:t>
      </w:r>
      <w:r>
        <w:rPr>
          <w:rFonts w:hint="eastAsia" w:ascii="楷体_GB2312" w:hAnsi="楷体_GB2312" w:eastAsia="楷体_GB2312" w:cs="楷体_GB2312"/>
          <w:b w:val="0"/>
          <w:bCs/>
          <w:i w:val="0"/>
          <w:strike w:val="0"/>
          <w:color w:val="000000"/>
          <w:spacing w:val="0"/>
          <w:sz w:val="32"/>
          <w:highlight w:val="none"/>
          <w:u w:val="none"/>
          <w:lang w:val="en-US" w:eastAsia="zh-CN"/>
        </w:rPr>
        <w:t>二</w:t>
      </w:r>
      <w:r>
        <w:rPr>
          <w:rFonts w:ascii="楷体_GB2312" w:hAnsi="楷体_GB2312" w:eastAsia="楷体_GB2312" w:cs="楷体_GB2312"/>
          <w:b w:val="0"/>
          <w:bCs/>
          <w:i w:val="0"/>
          <w:strike w:val="0"/>
          <w:color w:val="000000"/>
          <w:spacing w:val="0"/>
          <w:sz w:val="32"/>
          <w:highlight w:val="none"/>
          <w:u w:val="none"/>
        </w:rPr>
        <w:t>）</w:t>
      </w:r>
      <w:r>
        <w:rPr>
          <w:rFonts w:hint="eastAsia" w:ascii="楷体_GB2312" w:hAnsi="楷体_GB2312" w:eastAsia="楷体_GB2312" w:cs="楷体_GB2312"/>
          <w:b w:val="0"/>
          <w:bCs/>
          <w:i w:val="0"/>
          <w:strike w:val="0"/>
          <w:color w:val="000000"/>
          <w:spacing w:val="0"/>
          <w:sz w:val="32"/>
          <w:highlight w:val="none"/>
          <w:u w:val="none"/>
          <w:lang w:val="en-US" w:eastAsia="zh-CN"/>
        </w:rPr>
        <w:t>筑牢困境儿童服务保障底线</w:t>
      </w:r>
      <w:bookmarkEnd w:id="88"/>
    </w:p>
    <w:p w14:paraId="709F0251">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hint="default" w:ascii="仿宋_GB2312" w:hAnsi="仿宋_GB2312" w:eastAsia="仿宋_GB2312" w:cs="仿宋_GB2312"/>
          <w:i w:val="0"/>
          <w:strike w:val="0"/>
          <w:color w:val="000000"/>
          <w:sz w:val="32"/>
          <w:highlight w:val="none"/>
          <w:u w:val="none"/>
          <w:lang w:val="en-US" w:eastAsia="zh-CN"/>
        </w:rPr>
      </w:pPr>
      <w:r>
        <w:rPr>
          <w:rFonts w:hint="default" w:ascii="仿宋_GB2312" w:hAnsi="仿宋_GB2312" w:eastAsia="仿宋_GB2312" w:cs="仿宋_GB2312"/>
          <w:i w:val="0"/>
          <w:strike w:val="0"/>
          <w:color w:val="000000"/>
          <w:sz w:val="32"/>
          <w:highlight w:val="none"/>
          <w:u w:val="none"/>
          <w:lang w:val="en-US" w:eastAsia="zh-CN"/>
        </w:rPr>
        <w:t>坚持“儿童利益最大化”与“最有利于儿童”原则，织密困境儿童关爱服务网。</w:t>
      </w:r>
    </w:p>
    <w:p w14:paraId="20F1B935">
      <w:pPr>
        <w:pageBreakBefore w:val="0"/>
        <w:widowControl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auto"/>
        <w:rPr>
          <w:rFonts w:ascii="仿宋_GB2312" w:hAnsi="仿宋_GB2312" w:eastAsia="仿宋_GB2312" w:cs="仿宋_GB2312"/>
          <w:i w:val="0"/>
          <w:strike w:val="0"/>
          <w:color w:val="000000"/>
          <w:sz w:val="32"/>
          <w:highlight w:val="none"/>
          <w:u w:val="none"/>
          <w:lang w:val="en-US" w:eastAsia="zh-CN"/>
        </w:rPr>
      </w:pPr>
      <w:r>
        <w:rPr>
          <w:rFonts w:hint="default" w:ascii="仿宋_GB2312" w:hAnsi="仿宋_GB2312" w:eastAsia="仿宋_GB2312" w:cs="仿宋_GB2312"/>
          <w:b/>
          <w:bCs/>
          <w:i w:val="0"/>
          <w:strike w:val="0"/>
          <w:color w:val="000000"/>
          <w:sz w:val="32"/>
          <w:highlight w:val="none"/>
          <w:u w:val="none"/>
          <w:lang w:val="en-US" w:eastAsia="zh-CN"/>
        </w:rPr>
        <w:t>强化精准识别与动态管理。</w:t>
      </w:r>
      <w:r>
        <w:rPr>
          <w:rFonts w:hint="default" w:ascii="仿宋_GB2312" w:hAnsi="仿宋_GB2312" w:eastAsia="仿宋_GB2312" w:cs="仿宋_GB2312"/>
          <w:i w:val="0"/>
          <w:strike w:val="0"/>
          <w:color w:val="000000"/>
          <w:sz w:val="32"/>
          <w:highlight w:val="none"/>
          <w:u w:val="none"/>
          <w:lang w:val="en-US" w:eastAsia="zh-CN"/>
        </w:rPr>
        <w:t>完善困境儿童精准识别与主动发现机制，强化部门协作与数据共享，构建全区困境儿童动态数据库。推行分类分级评估与“一人一档”精细化管理。</w:t>
      </w:r>
      <w:r>
        <w:rPr>
          <w:rFonts w:hint="default" w:ascii="仿宋_GB2312" w:hAnsi="仿宋_GB2312" w:eastAsia="仿宋_GB2312" w:cs="仿宋_GB2312"/>
          <w:b/>
          <w:bCs/>
          <w:i w:val="0"/>
          <w:strike w:val="0"/>
          <w:color w:val="000000"/>
          <w:sz w:val="32"/>
          <w:highlight w:val="none"/>
          <w:u w:val="none"/>
          <w:lang w:val="en-US" w:eastAsia="zh-CN"/>
        </w:rPr>
        <w:t>落实多层次服务保障政策。</w:t>
      </w:r>
      <w:r>
        <w:rPr>
          <w:rFonts w:hint="default" w:ascii="仿宋_GB2312" w:hAnsi="仿宋_GB2312" w:eastAsia="仿宋_GB2312" w:cs="仿宋_GB2312"/>
          <w:i w:val="0"/>
          <w:strike w:val="0"/>
          <w:color w:val="000000"/>
          <w:sz w:val="32"/>
          <w:highlight w:val="none"/>
          <w:u w:val="none"/>
          <w:lang w:val="en-US" w:eastAsia="zh-CN"/>
        </w:rPr>
        <w:t>落实孤儿、事实无人抚养儿童基本生活最低养育标准动态增长机制，确保应保尽保。针对困境儿童的差异化需求，提供精准化、个性化、专业化的服务。</w:t>
      </w:r>
      <w:r>
        <w:rPr>
          <w:rFonts w:hint="default" w:ascii="仿宋_GB2312" w:hAnsi="仿宋_GB2312" w:eastAsia="仿宋_GB2312" w:cs="仿宋_GB2312"/>
          <w:b/>
          <w:bCs/>
          <w:i w:val="0"/>
          <w:strike w:val="0"/>
          <w:color w:val="000000"/>
          <w:sz w:val="32"/>
          <w:highlight w:val="none"/>
          <w:u w:val="none"/>
          <w:lang w:val="en-US" w:eastAsia="zh-CN"/>
        </w:rPr>
        <w:t>深化综合救助模式转型。</w:t>
      </w:r>
      <w:r>
        <w:rPr>
          <w:rFonts w:hint="default" w:ascii="仿宋_GB2312" w:hAnsi="仿宋_GB2312" w:eastAsia="仿宋_GB2312" w:cs="仿宋_GB2312"/>
          <w:i w:val="0"/>
          <w:strike w:val="0"/>
          <w:color w:val="000000"/>
          <w:sz w:val="32"/>
          <w:highlight w:val="none"/>
          <w:u w:val="none"/>
          <w:lang w:val="en-US" w:eastAsia="zh-CN"/>
        </w:rPr>
        <w:t>深入推进“物质+服务+发展”的综合救助，在保障基本生活的基础上，系统链接心理健康、社会融入、能力建设等专业服务，实现从单一物质兜底向全方位发展型帮扶的转变。</w:t>
      </w:r>
    </w:p>
    <w:p w14:paraId="456B8DB0">
      <w:pPr>
        <w:pStyle w:val="7"/>
        <w:keepNext/>
        <w:keepLines/>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outlineLvl w:val="1"/>
        <w:rPr>
          <w:color w:val="000000"/>
          <w:highlight w:val="none"/>
        </w:rPr>
      </w:pPr>
      <w:bookmarkStart w:id="89" w:name="_Toc12693"/>
      <w:bookmarkStart w:id="90" w:name="_Toc1536"/>
      <w:r>
        <w:rPr>
          <w:rFonts w:ascii="楷体_GB2312" w:hAnsi="楷体_GB2312" w:eastAsia="楷体_GB2312" w:cs="楷体_GB2312"/>
          <w:b w:val="0"/>
          <w:bCs/>
          <w:i w:val="0"/>
          <w:strike w:val="0"/>
          <w:color w:val="000000"/>
          <w:spacing w:val="0"/>
          <w:sz w:val="32"/>
          <w:highlight w:val="none"/>
          <w:u w:val="none"/>
        </w:rPr>
        <w:t>（</w:t>
      </w:r>
      <w:r>
        <w:rPr>
          <w:rFonts w:hint="eastAsia" w:ascii="楷体_GB2312" w:hAnsi="楷体_GB2312" w:eastAsia="楷体_GB2312" w:cs="楷体_GB2312"/>
          <w:b w:val="0"/>
          <w:bCs/>
          <w:i w:val="0"/>
          <w:strike w:val="0"/>
          <w:color w:val="000000"/>
          <w:spacing w:val="0"/>
          <w:sz w:val="32"/>
          <w:highlight w:val="none"/>
          <w:u w:val="none"/>
          <w:lang w:val="en-US" w:eastAsia="zh-CN"/>
        </w:rPr>
        <w:t>三</w:t>
      </w:r>
      <w:r>
        <w:rPr>
          <w:rFonts w:ascii="楷体_GB2312" w:hAnsi="楷体_GB2312" w:eastAsia="楷体_GB2312" w:cs="楷体_GB2312"/>
          <w:b w:val="0"/>
          <w:bCs/>
          <w:i w:val="0"/>
          <w:strike w:val="0"/>
          <w:color w:val="000000"/>
          <w:spacing w:val="0"/>
          <w:sz w:val="32"/>
          <w:highlight w:val="none"/>
          <w:u w:val="none"/>
        </w:rPr>
        <w:t>）</w:t>
      </w:r>
      <w:r>
        <w:rPr>
          <w:rFonts w:hint="eastAsia" w:ascii="楷体_GB2312" w:hAnsi="楷体_GB2312" w:eastAsia="楷体_GB2312" w:cs="楷体_GB2312"/>
          <w:b w:val="0"/>
          <w:bCs/>
          <w:i w:val="0"/>
          <w:strike w:val="0"/>
          <w:color w:val="000000"/>
          <w:spacing w:val="0"/>
          <w:sz w:val="32"/>
          <w:highlight w:val="none"/>
          <w:u w:val="none"/>
          <w:lang w:val="en-US" w:eastAsia="zh-CN"/>
        </w:rPr>
        <w:t>优化困境儿童群体精准关爱服务</w:t>
      </w:r>
      <w:bookmarkEnd w:id="89"/>
    </w:p>
    <w:p w14:paraId="381410C8">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lang w:val="en-US" w:eastAsia="zh-CN"/>
        </w:rPr>
      </w:pPr>
      <w:r>
        <w:rPr>
          <w:rFonts w:hint="default" w:ascii="仿宋_GB2312" w:hAnsi="仿宋_GB2312" w:eastAsia="仿宋_GB2312" w:cs="仿宋_GB2312"/>
          <w:i w:val="0"/>
          <w:strike w:val="0"/>
          <w:color w:val="000000"/>
          <w:sz w:val="32"/>
          <w:highlight w:val="none"/>
          <w:u w:val="none"/>
          <w:lang w:val="en-US" w:eastAsia="zh-CN"/>
        </w:rPr>
        <w:t>聚焦重点群体与特色品牌，持续提升困境儿童关爱服务的精准度与针对性。</w:t>
      </w:r>
    </w:p>
    <w:p w14:paraId="5791AD56">
      <w:pPr>
        <w:snapToGrid w:val="0"/>
        <w:spacing w:line="560" w:lineRule="exact"/>
        <w:ind w:firstLine="640" w:firstLineChars="200"/>
        <w:rPr>
          <w:rFonts w:hint="default" w:ascii="仿宋_GB2312" w:hAnsi="仿宋_GB2312" w:eastAsia="仿宋_GB2312" w:cs="仿宋_GB2312"/>
          <w:i w:val="0"/>
          <w:strike w:val="0"/>
          <w:color w:val="000000"/>
          <w:sz w:val="32"/>
          <w:highlight w:val="none"/>
          <w:u w:val="none"/>
          <w:lang w:val="en-US" w:eastAsia="zh-CN"/>
        </w:rPr>
      </w:pPr>
      <w:r>
        <w:rPr>
          <w:rFonts w:hint="default" w:ascii="仿宋_GB2312" w:hAnsi="仿宋_GB2312" w:eastAsia="仿宋_GB2312" w:cs="仿宋_GB2312"/>
          <w:b/>
          <w:bCs/>
          <w:i w:val="0"/>
          <w:strike w:val="0"/>
          <w:color w:val="000000"/>
          <w:sz w:val="32"/>
          <w:highlight w:val="none"/>
          <w:u w:val="none"/>
          <w:lang w:val="en-US" w:eastAsia="zh-CN"/>
        </w:rPr>
        <w:t>打造推广特色服务品牌。</w:t>
      </w:r>
      <w:r>
        <w:rPr>
          <w:rFonts w:hint="default" w:ascii="仿宋_GB2312" w:hAnsi="仿宋_GB2312" w:eastAsia="仿宋_GB2312" w:cs="仿宋_GB2312"/>
          <w:color w:val="000000"/>
          <w:sz w:val="32"/>
          <w:highlight w:val="none"/>
          <w:u w:val="none"/>
          <w:lang w:val="en-US" w:eastAsia="zh-CN"/>
        </w:rPr>
        <w:t>总结推广困境儿童关爱服务国家级试点经验，系统推进关爱服务模式创新，探索构建“物质保障+专业服务+发展支持”三位一体的关爱服务体系，推动实现从“保基本”向“促发展”跃升。持续擦亮“深护童心·宝未成长”服务品牌，培育一批可复制推广的示范项目，不断提升困境儿童关爱服务质效。</w:t>
      </w:r>
      <w:r>
        <w:rPr>
          <w:rFonts w:hint="default" w:ascii="仿宋_GB2312" w:hAnsi="仿宋_GB2312" w:eastAsia="仿宋_GB2312" w:cs="仿宋_GB2312"/>
          <w:b/>
          <w:bCs/>
          <w:i w:val="0"/>
          <w:strike w:val="0"/>
          <w:color w:val="000000"/>
          <w:sz w:val="32"/>
          <w:highlight w:val="none"/>
          <w:u w:val="none"/>
          <w:lang w:val="en-US" w:eastAsia="zh-CN"/>
        </w:rPr>
        <w:t>强化困境儿童服务保障。</w:t>
      </w:r>
      <w:r>
        <w:rPr>
          <w:rFonts w:hint="default" w:ascii="仿宋_GB2312" w:hAnsi="仿宋_GB2312" w:eastAsia="仿宋_GB2312" w:cs="仿宋_GB2312"/>
          <w:i w:val="0"/>
          <w:strike w:val="0"/>
          <w:color w:val="000000"/>
          <w:sz w:val="32"/>
          <w:highlight w:val="none"/>
          <w:u w:val="none"/>
          <w:lang w:val="en-US" w:eastAsia="zh-CN"/>
        </w:rPr>
        <w:t>围绕困境儿童安全保护、基本生活、教育支持、医疗康复、心理关爱、社会融入等需求，聚焦困境儿童类型、风险等级和个性化需求，在分类分级分色评估基础上，开展“一人一策”关爱服务和个案帮扶。深化“筑梦童程”等项目，加强对儿童的生活照料、健康监测与个性化管理。</w:t>
      </w:r>
      <w:r>
        <w:rPr>
          <w:rFonts w:hint="default" w:ascii="仿宋_GB2312" w:hAnsi="仿宋_GB2312" w:eastAsia="仿宋_GB2312" w:cs="仿宋_GB2312"/>
          <w:b/>
          <w:bCs/>
          <w:i w:val="0"/>
          <w:strike w:val="0"/>
          <w:color w:val="000000"/>
          <w:sz w:val="32"/>
          <w:highlight w:val="none"/>
          <w:u w:val="none"/>
          <w:lang w:val="en-US" w:eastAsia="zh-CN"/>
        </w:rPr>
        <w:t>拓展潜能发展与合法收养路径。</w:t>
      </w:r>
      <w:r>
        <w:rPr>
          <w:rFonts w:hint="default" w:ascii="仿宋_GB2312" w:hAnsi="仿宋_GB2312" w:eastAsia="仿宋_GB2312" w:cs="仿宋_GB2312"/>
          <w:i w:val="0"/>
          <w:strike w:val="0"/>
          <w:color w:val="000000"/>
          <w:sz w:val="32"/>
          <w:highlight w:val="none"/>
          <w:u w:val="none"/>
          <w:lang w:val="en-US" w:eastAsia="zh-CN"/>
        </w:rPr>
        <w:t>扩大“心有梦想、遇见未来”特殊群体艺术疗愈品牌影响力，促进儿童潜能全面发展。依法规范开展收养工作，始终秉持“为儿童寻家”理念，切实保障被收养儿童合法权益。</w:t>
      </w:r>
    </w:p>
    <w:bookmarkEnd w:id="90"/>
    <w:p w14:paraId="73C2D863">
      <w:pPr>
        <w:pStyle w:val="7"/>
        <w:keepNext/>
        <w:keepLines/>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outlineLvl w:val="1"/>
        <w:rPr>
          <w:rFonts w:ascii="楷体_GB2312" w:hAnsi="楷体_GB2312" w:eastAsia="楷体_GB2312" w:cs="楷体_GB2312"/>
          <w:b w:val="0"/>
          <w:bCs/>
          <w:i w:val="0"/>
          <w:strike w:val="0"/>
          <w:color w:val="000000"/>
          <w:spacing w:val="0"/>
          <w:sz w:val="32"/>
          <w:highlight w:val="none"/>
          <w:u w:val="none"/>
        </w:rPr>
      </w:pPr>
      <w:bookmarkStart w:id="91" w:name="_Toc1250"/>
      <w:bookmarkStart w:id="92" w:name="_Toc17398"/>
      <w:r>
        <w:rPr>
          <w:rFonts w:ascii="楷体_GB2312" w:hAnsi="楷体_GB2312" w:eastAsia="楷体_GB2312" w:cs="楷体_GB2312"/>
          <w:b w:val="0"/>
          <w:bCs/>
          <w:i w:val="0"/>
          <w:strike w:val="0"/>
          <w:color w:val="000000"/>
          <w:spacing w:val="0"/>
          <w:sz w:val="32"/>
          <w:highlight w:val="none"/>
          <w:u w:val="none"/>
        </w:rPr>
        <w:t>（四）</w:t>
      </w:r>
      <w:bookmarkEnd w:id="91"/>
      <w:r>
        <w:rPr>
          <w:rFonts w:hint="eastAsia" w:ascii="楷体_GB2312" w:hAnsi="楷体_GB2312" w:eastAsia="楷体_GB2312" w:cs="楷体_GB2312"/>
          <w:b w:val="0"/>
          <w:bCs/>
          <w:i w:val="0"/>
          <w:strike w:val="0"/>
          <w:color w:val="000000"/>
          <w:spacing w:val="0"/>
          <w:sz w:val="32"/>
          <w:highlight w:val="none"/>
          <w:u w:val="none"/>
        </w:rPr>
        <w:t>提升儿童福利机构专业效能</w:t>
      </w:r>
      <w:bookmarkEnd w:id="92"/>
    </w:p>
    <w:p w14:paraId="4E3BA61E">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val="en-US" w:eastAsia="zh-CN"/>
        </w:rPr>
      </w:pPr>
      <w:r>
        <w:rPr>
          <w:rFonts w:hint="eastAsia" w:ascii="仿宋_GB2312" w:hAnsi="仿宋_GB2312" w:eastAsia="仿宋_GB2312" w:cs="仿宋_GB2312"/>
          <w:i w:val="0"/>
          <w:strike w:val="0"/>
          <w:color w:val="000000"/>
          <w:sz w:val="32"/>
          <w:highlight w:val="none"/>
          <w:u w:val="none"/>
          <w:lang w:val="en-US" w:eastAsia="zh-CN"/>
        </w:rPr>
        <w:t>坚持儿童利益优先，以精准服务和融合发展为导向，全面增强儿童福利机构的专业服务能级。</w:t>
      </w:r>
    </w:p>
    <w:p w14:paraId="1713ABC9">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val="en-US" w:eastAsia="zh-CN"/>
        </w:rPr>
      </w:pPr>
      <w:r>
        <w:rPr>
          <w:rFonts w:hint="eastAsia" w:ascii="仿宋_GB2312" w:hAnsi="仿宋_GB2312" w:eastAsia="仿宋_GB2312" w:cs="仿宋_GB2312"/>
          <w:b/>
          <w:bCs/>
          <w:i w:val="0"/>
          <w:strike w:val="0"/>
          <w:color w:val="000000"/>
          <w:sz w:val="32"/>
          <w:highlight w:val="none"/>
          <w:u w:val="none"/>
          <w:lang w:val="en-US" w:eastAsia="zh-CN"/>
        </w:rPr>
        <w:t>优化品质化照护服务供给。</w:t>
      </w:r>
      <w:r>
        <w:rPr>
          <w:rFonts w:hint="eastAsia" w:ascii="仿宋_GB2312" w:hAnsi="仿宋_GB2312" w:eastAsia="仿宋_GB2312" w:cs="仿宋_GB2312"/>
          <w:i w:val="0"/>
          <w:strike w:val="0"/>
          <w:color w:val="000000"/>
          <w:sz w:val="32"/>
          <w:highlight w:val="none"/>
          <w:u w:val="none"/>
          <w:lang w:val="en-US" w:eastAsia="zh-CN"/>
        </w:rPr>
        <w:t>持续完善“筑梦童程”等精品项目，升级生活照料、健康监测与个性化管理服务，优化特殊教育和职业教育资源配置，增强儿童的社会融入能力。</w:t>
      </w:r>
      <w:r>
        <w:rPr>
          <w:rFonts w:hint="eastAsia" w:ascii="仿宋_GB2312" w:hAnsi="仿宋_GB2312" w:eastAsia="仿宋_GB2312" w:cs="仿宋_GB2312"/>
          <w:b/>
          <w:bCs/>
          <w:i w:val="0"/>
          <w:strike w:val="0"/>
          <w:color w:val="000000"/>
          <w:sz w:val="32"/>
          <w:highlight w:val="none"/>
          <w:u w:val="none"/>
          <w:lang w:val="en-US" w:eastAsia="zh-CN"/>
        </w:rPr>
        <w:t>深化医教康合作与创新应用。</w:t>
      </w:r>
      <w:r>
        <w:rPr>
          <w:rFonts w:hint="eastAsia" w:ascii="仿宋_GB2312" w:hAnsi="仿宋_GB2312" w:eastAsia="仿宋_GB2312" w:cs="仿宋_GB2312"/>
          <w:i w:val="0"/>
          <w:strike w:val="0"/>
          <w:color w:val="000000"/>
          <w:sz w:val="32"/>
          <w:highlight w:val="none"/>
          <w:u w:val="none"/>
          <w:lang w:val="en-US" w:eastAsia="zh-CN"/>
        </w:rPr>
        <w:t>深化医疗、教育与康复机构间的合作，拓展前沿康复项目和先进技术应用，提升对孤残儿童的专业康复保障水平。</w:t>
      </w:r>
      <w:r>
        <w:rPr>
          <w:rFonts w:hint="eastAsia" w:ascii="仿宋_GB2312" w:hAnsi="仿宋_GB2312" w:eastAsia="仿宋_GB2312" w:cs="仿宋_GB2312"/>
          <w:b/>
          <w:bCs/>
          <w:i w:val="0"/>
          <w:strike w:val="0"/>
          <w:color w:val="000000"/>
          <w:sz w:val="32"/>
          <w:highlight w:val="none"/>
          <w:u w:val="none"/>
          <w:lang w:val="en-US" w:eastAsia="zh-CN"/>
        </w:rPr>
        <w:t>创新全周期融合服务体系。</w:t>
      </w:r>
      <w:r>
        <w:rPr>
          <w:rFonts w:hint="eastAsia" w:ascii="仿宋_GB2312" w:hAnsi="仿宋_GB2312" w:eastAsia="仿宋_GB2312" w:cs="仿宋_GB2312"/>
          <w:i w:val="0"/>
          <w:strike w:val="0"/>
          <w:color w:val="000000"/>
          <w:sz w:val="32"/>
          <w:highlight w:val="none"/>
          <w:u w:val="none"/>
          <w:lang w:val="en-US" w:eastAsia="zh-CN"/>
        </w:rPr>
        <w:t>构建适龄残疾服务对象“全生命周期”服务体系，拓展就业与创业支持渠道，统筹推进技能培训、岗位开发与社会安置，促进其全面发展和社会融合。扩大“心有梦想、遇见未来”特殊群体艺术作品巡展规模，持续激发孤残儿童的艺术潜能，提升社会接纳度与认同感。</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783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1CB92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4</w:t>
            </w:r>
            <w:r>
              <w:rPr>
                <w:rFonts w:eastAsia="仿宋_GB2312" w:cs="Times New Roman"/>
                <w:b/>
                <w:bCs/>
                <w:kern w:val="0"/>
                <w:sz w:val="28"/>
                <w:szCs w:val="28"/>
              </w:rPr>
              <w:t xml:space="preserve">  </w:t>
            </w:r>
            <w:r>
              <w:rPr>
                <w:rFonts w:hint="eastAsia" w:eastAsia="仿宋_GB2312" w:cs="Times New Roman"/>
                <w:b/>
                <w:bCs/>
                <w:kern w:val="0"/>
                <w:sz w:val="28"/>
                <w:szCs w:val="28"/>
                <w:lang w:val="en-US" w:eastAsia="zh-CN"/>
              </w:rPr>
              <w:t>社会福利中心</w:t>
            </w:r>
            <w:r>
              <w:rPr>
                <w:rFonts w:eastAsia="仿宋_GB2312" w:cs="Times New Roman"/>
                <w:b/>
                <w:bCs/>
                <w:kern w:val="0"/>
                <w:sz w:val="28"/>
                <w:szCs w:val="28"/>
              </w:rPr>
              <w:t>高水平儿童保障体系建设工程</w:t>
            </w:r>
          </w:p>
        </w:tc>
      </w:tr>
      <w:tr w14:paraId="390E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14:paraId="547C61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b w:val="0"/>
                <w:bCs w:val="0"/>
                <w:color w:val="auto"/>
                <w:spacing w:val="0"/>
                <w:sz w:val="28"/>
                <w:szCs w:val="28"/>
                <w:lang w:val="en-US" w:eastAsia="zh-CN"/>
              </w:rPr>
            </w:pPr>
            <w:r>
              <w:rPr>
                <w:rFonts w:hint="eastAsia" w:ascii="仿宋_GB2312" w:hAnsi="仿宋_GB2312" w:eastAsia="仿宋_GB2312" w:cs="仿宋_GB2312"/>
                <w:b/>
                <w:bCs/>
                <w:color w:val="auto"/>
                <w:kern w:val="2"/>
                <w:sz w:val="28"/>
                <w:szCs w:val="28"/>
              </w:rPr>
              <w:t>困境儿童关爱服务提质增效工程。</w:t>
            </w:r>
            <w:r>
              <w:rPr>
                <w:rFonts w:hint="eastAsia" w:ascii="仿宋_GB2312" w:hAnsi="仿宋_GB2312" w:eastAsia="仿宋_GB2312" w:cs="仿宋_GB2312"/>
                <w:b w:val="0"/>
                <w:bCs w:val="0"/>
                <w:color w:val="auto"/>
                <w:spacing w:val="0"/>
                <w:sz w:val="28"/>
                <w:szCs w:val="28"/>
                <w:lang w:val="en-US" w:eastAsia="zh-CN"/>
              </w:rPr>
              <w:t>依托国家级困境儿童关爱服务试点项目，系统推进关爱服务模式创新。聚焦困境儿童和孤残特殊群体，构建“物质保障+专业服务+发展支持”三位一体的关爱服务体系，推动实现从“保基本”向“促发展”跃升。持续完善“深护童心·宝未成长”服务品牌，培育一批可复制推广的示范项目，实现儿童督导员和儿童主任培训覆盖率保持100%。</w:t>
            </w:r>
          </w:p>
          <w:p w14:paraId="498120B0">
            <w:pPr>
              <w:pStyle w:val="16"/>
              <w:keepNext w:val="0"/>
              <w:keepLines w:val="0"/>
              <w:suppressLineNumbers w:val="0"/>
              <w:spacing w:before="0" w:beforeAutospacing="0" w:after="0" w:afterAutospacing="0"/>
              <w:ind w:right="0"/>
              <w:rPr>
                <w:rFonts w:hint="eastAsia"/>
                <w:lang w:val="en-US" w:eastAsia="zh-CN"/>
              </w:rPr>
            </w:pPr>
          </w:p>
          <w:p w14:paraId="2D9F485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default" w:ascii="仿宋_GB2312" w:hAnsi="仿宋_GB2312" w:eastAsia="仿宋_GB2312" w:cs="仿宋_GB2312"/>
                <w:b w:val="0"/>
                <w:bCs w:val="0"/>
                <w:snapToGrid w:val="0"/>
                <w:color w:val="auto"/>
                <w:spacing w:val="0"/>
                <w:kern w:val="0"/>
                <w:sz w:val="28"/>
                <w:szCs w:val="28"/>
                <w:highlight w:val="none"/>
                <w:lang w:val="en-US" w:eastAsia="zh-CN" w:bidi="ar-SA"/>
              </w:rPr>
            </w:pPr>
            <w:r>
              <w:rPr>
                <w:rFonts w:hint="eastAsia" w:ascii="仿宋_GB2312" w:hAnsi="仿宋_GB2312" w:eastAsia="仿宋_GB2312" w:cs="仿宋_GB2312"/>
                <w:b/>
                <w:bCs/>
                <w:snapToGrid/>
                <w:color w:val="auto"/>
                <w:spacing w:val="0"/>
                <w:kern w:val="2"/>
                <w:sz w:val="28"/>
                <w:szCs w:val="28"/>
                <w:highlight w:val="none"/>
                <w:lang w:eastAsia="zh-CN" w:bidi="ar-SA"/>
              </w:rPr>
              <w:t>困境儿童就业潜能开发工程。</w:t>
            </w:r>
            <w:r>
              <w:rPr>
                <w:rFonts w:hint="default" w:ascii="仿宋_GB2312" w:hAnsi="仿宋_GB2312" w:eastAsia="仿宋_GB2312" w:cs="仿宋_GB2312"/>
                <w:b w:val="0"/>
                <w:bCs w:val="0"/>
                <w:snapToGrid w:val="0"/>
                <w:color w:val="auto"/>
                <w:spacing w:val="0"/>
                <w:kern w:val="0"/>
                <w:sz w:val="28"/>
                <w:szCs w:val="28"/>
                <w:highlight w:val="none"/>
                <w:lang w:val="en-US" w:eastAsia="zh-CN" w:bidi="ar-SA"/>
              </w:rPr>
              <w:t>以区社会福利中心为主阵地，统筹建设非遗创意工坊、手工制作工坊、“喜憨儿洗车”就业示范中心、直播电商运营培训站、孤残群体优秀艺术作品珍藏馆等就业创业支持载体。构建“阵地打造—技艺培训—成果转化—销售反哺”的良性循环机制，培育一批就业创业特色项目，助力困境儿童掌握职业技能、增强社会融入能力、实现自我价值。</w:t>
            </w:r>
          </w:p>
          <w:p w14:paraId="1B1887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default" w:ascii="仿宋_GB2312" w:hAnsi="仿宋_GB2312" w:eastAsia="仿宋_GB2312" w:cs="仿宋_GB2312"/>
                <w:b w:val="0"/>
                <w:bCs w:val="0"/>
                <w:snapToGrid w:val="0"/>
                <w:color w:val="auto"/>
                <w:spacing w:val="0"/>
                <w:kern w:val="0"/>
                <w:sz w:val="28"/>
                <w:szCs w:val="28"/>
                <w:highlight w:val="none"/>
                <w:lang w:val="en-US" w:eastAsia="zh-CN" w:bidi="ar-SA"/>
              </w:rPr>
            </w:pPr>
            <w:r>
              <w:rPr>
                <w:rFonts w:hint="default" w:ascii="仿宋_GB2312" w:hAnsi="仿宋_GB2312" w:eastAsia="仿宋_GB2312" w:cs="仿宋_GB2312"/>
                <w:b/>
                <w:bCs/>
                <w:color w:val="auto"/>
                <w:kern w:val="2"/>
                <w:sz w:val="28"/>
                <w:szCs w:val="28"/>
              </w:rPr>
              <w:t>困境儿童心理关爱体系建设工程</w:t>
            </w:r>
            <w:r>
              <w:rPr>
                <w:rFonts w:hint="default" w:ascii="仿宋_GB2312" w:hAnsi="仿宋_GB2312" w:eastAsia="仿宋_GB2312" w:cs="仿宋_GB2312"/>
                <w:b/>
                <w:bCs/>
                <w:color w:val="auto"/>
                <w:spacing w:val="0"/>
                <w:sz w:val="28"/>
                <w:szCs w:val="28"/>
                <w:highlight w:val="none"/>
                <w:lang w:eastAsia="zh-CN"/>
              </w:rPr>
              <w:t>。</w:t>
            </w:r>
            <w:r>
              <w:rPr>
                <w:rFonts w:hint="default" w:ascii="仿宋_GB2312" w:hAnsi="仿宋_GB2312" w:eastAsia="仿宋_GB2312" w:cs="仿宋_GB2312"/>
                <w:i w:val="0"/>
                <w:iCs w:val="0"/>
                <w:caps w:val="0"/>
                <w:snapToGrid w:val="0"/>
                <w:color w:val="auto"/>
                <w:spacing w:val="0"/>
                <w:kern w:val="0"/>
                <w:sz w:val="28"/>
                <w:szCs w:val="28"/>
                <w:highlight w:val="none"/>
                <w:shd w:val="clear"/>
                <w:lang w:eastAsia="zh-CN" w:bidi="ar-SA"/>
              </w:rPr>
              <w:t>全面落实《儿童福利机构管理办法》心理健康服务要求，组建“特殊家庭教育讲师团”，探索构建心理治疗、心理咨询、环境疗愈、艺术疗愈、种养疗愈、人工智能疗愈“六维一体”心理疗愈服务体系。将心理健康服务纳入孤残儿童福利保障常态化项目，建立心理健康筛查、干预、跟踪全流程服务机制。</w:t>
            </w:r>
          </w:p>
          <w:p w14:paraId="67F76A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textAlignment w:val="auto"/>
              <w:outlineLvl w:val="9"/>
              <w:rPr>
                <w:rFonts w:hint="eastAsia" w:eastAsia="仿宋_GB2312" w:cs="Times New Roman"/>
                <w:kern w:val="0"/>
                <w:sz w:val="28"/>
                <w:szCs w:val="28"/>
              </w:rPr>
            </w:pPr>
            <w:r>
              <w:rPr>
                <w:rFonts w:hint="default" w:ascii="仿宋_GB2312" w:hAnsi="仿宋_GB2312" w:eastAsia="仿宋_GB2312" w:cs="仿宋_GB2312"/>
                <w:b/>
                <w:bCs/>
                <w:color w:val="auto"/>
                <w:spacing w:val="0"/>
                <w:sz w:val="28"/>
                <w:szCs w:val="28"/>
                <w:highlight w:val="none"/>
                <w:u w:val="none"/>
                <w:lang w:val="en-US" w:eastAsia="zh-CN"/>
              </w:rPr>
              <w:t>困境儿童安全法治护航工程</w:t>
            </w:r>
            <w:r>
              <w:rPr>
                <w:rFonts w:hint="default" w:ascii="仿宋_GB2312" w:hAnsi="仿宋_GB2312" w:eastAsia="仿宋_GB2312" w:cs="仿宋_GB2312"/>
                <w:b/>
                <w:bCs/>
                <w:color w:val="auto"/>
                <w:spacing w:val="0"/>
                <w:sz w:val="28"/>
                <w:szCs w:val="28"/>
                <w:highlight w:val="none"/>
                <w:u w:val="none"/>
                <w:lang w:eastAsia="zh-CN"/>
              </w:rPr>
              <w:t>。</w:t>
            </w:r>
            <w:r>
              <w:rPr>
                <w:rFonts w:hint="eastAsia" w:ascii="仿宋_GB2312" w:hAnsi="仿宋_GB2312" w:eastAsia="仿宋_GB2312" w:cs="仿宋_GB2312"/>
                <w:b w:val="0"/>
                <w:bCs w:val="0"/>
                <w:color w:val="auto"/>
                <w:spacing w:val="0"/>
                <w:sz w:val="28"/>
                <w:szCs w:val="28"/>
                <w:highlight w:val="none"/>
                <w:u w:val="none"/>
                <w:lang w:val="en-US" w:eastAsia="zh-CN"/>
              </w:rPr>
              <w:t>联合司法、教育、消防等部门，共建青少年安全法治教育基地。围绕消防安全、人身安全、网络安全、权益保障等主题，系统开展专题讲座、模拟演练、知识竞赛等多样化教育活动。着力提升孤残儿童群体的法律意识、安全防范与自我保护能力，筑牢权益保障防线，实现儿童督导员和儿童主任覆盖率保持100%。</w:t>
            </w:r>
          </w:p>
        </w:tc>
      </w:tr>
    </w:tbl>
    <w:p w14:paraId="4CC4D3E6">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i w:val="0"/>
          <w:strike w:val="0"/>
          <w:color w:val="000000"/>
          <w:spacing w:val="0"/>
          <w:sz w:val="32"/>
          <w:highlight w:val="none"/>
          <w:u w:val="none"/>
        </w:rPr>
      </w:pPr>
      <w:bookmarkStart w:id="93" w:name="_Toc17929"/>
      <w:bookmarkStart w:id="94" w:name="_Toc13700"/>
      <w:bookmarkStart w:id="95" w:name="_Toc25759"/>
      <w:r>
        <w:rPr>
          <w:rFonts w:hint="eastAsia" w:ascii="黑体" w:hAnsi="黑体" w:eastAsia="黑体" w:cs="黑体"/>
          <w:i w:val="0"/>
          <w:strike w:val="0"/>
          <w:color w:val="000000"/>
          <w:spacing w:val="0"/>
          <w:sz w:val="32"/>
          <w:highlight w:val="none"/>
          <w:u w:val="none"/>
          <w:lang w:val="en-US" w:eastAsia="zh-CN"/>
        </w:rPr>
        <w:t>四、</w:t>
      </w:r>
      <w:bookmarkEnd w:id="93"/>
      <w:r>
        <w:rPr>
          <w:rFonts w:hint="eastAsia" w:ascii="黑体" w:hAnsi="黑体" w:eastAsia="黑体" w:cs="黑体"/>
          <w:i w:val="0"/>
          <w:strike w:val="0"/>
          <w:color w:val="000000"/>
          <w:spacing w:val="0"/>
          <w:sz w:val="32"/>
          <w:highlight w:val="none"/>
          <w:u w:val="none"/>
          <w:lang w:val="en-US" w:eastAsia="zh-CN"/>
        </w:rPr>
        <w:t>提升专项社会事务服务效能</w:t>
      </w:r>
      <w:bookmarkEnd w:id="94"/>
    </w:p>
    <w:p w14:paraId="30BE5FF4">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pacing w:val="0"/>
          <w:sz w:val="32"/>
          <w:highlight w:val="none"/>
          <w:u w:val="none"/>
        </w:rPr>
        <w:t>深化专项社会事务管理改革，推动婚姻登记、殡葬服务、残疾人保障等领域服务提质增效。围绕精细高效建设要求，切实增强基本社会事务服务能力，强化品牌建设，有效形成覆盖多样群体、社会力量参与的“助共体”。</w:t>
      </w:r>
    </w:p>
    <w:p w14:paraId="7E2AF998">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96" w:name="_Toc8162"/>
      <w:bookmarkStart w:id="97" w:name="_Toc7930"/>
      <w:r>
        <w:rPr>
          <w:rFonts w:ascii="楷体_GB2312" w:hAnsi="楷体_GB2312" w:eastAsia="楷体_GB2312" w:cs="楷体_GB2312"/>
          <w:i w:val="0"/>
          <w:strike w:val="0"/>
          <w:color w:val="000000"/>
          <w:spacing w:val="0"/>
          <w:sz w:val="32"/>
          <w:highlight w:val="none"/>
          <w:u w:val="none"/>
        </w:rPr>
        <w:t>（一）</w:t>
      </w:r>
      <w:bookmarkEnd w:id="96"/>
      <w:r>
        <w:rPr>
          <w:rFonts w:hint="eastAsia" w:ascii="楷体_GB2312" w:hAnsi="楷体_GB2312" w:eastAsia="楷体_GB2312" w:cs="楷体_GB2312"/>
          <w:i w:val="0"/>
          <w:strike w:val="0"/>
          <w:color w:val="000000"/>
          <w:spacing w:val="0"/>
          <w:sz w:val="32"/>
          <w:highlight w:val="none"/>
          <w:u w:val="none"/>
          <w:lang w:eastAsia="zh-CN"/>
        </w:rPr>
        <w:t>全面优化婚姻登记服务</w:t>
      </w:r>
      <w:bookmarkEnd w:id="97"/>
    </w:p>
    <w:p w14:paraId="12C7118E">
      <w:pPr>
        <w:spacing w:line="560" w:lineRule="exact"/>
        <w:ind w:left="0" w:firstLine="640" w:firstLineChars="200"/>
        <w:rPr>
          <w:rFonts w:hint="default" w:ascii="仿宋_GB2312" w:hAnsi="仿宋_GB2312" w:eastAsia="仿宋_GB2312" w:cs="仿宋_GB2312"/>
          <w:color w:val="000000"/>
          <w:sz w:val="32"/>
          <w:highlight w:val="none"/>
          <w:u w:val="none"/>
          <w:lang w:eastAsia="zh-CN"/>
        </w:rPr>
      </w:pPr>
      <w:r>
        <w:rPr>
          <w:rFonts w:hint="default" w:ascii="仿宋_GB2312" w:hAnsi="仿宋_GB2312" w:eastAsia="仿宋_GB2312" w:cs="仿宋_GB2312"/>
          <w:b/>
          <w:bCs/>
          <w:color w:val="000000"/>
          <w:sz w:val="32"/>
          <w:highlight w:val="none"/>
          <w:u w:val="none"/>
          <w:lang w:eastAsia="zh-CN"/>
        </w:rPr>
        <w:t>持续提升婚姻登记服务水平。</w:t>
      </w:r>
      <w:r>
        <w:rPr>
          <w:rFonts w:hint="default" w:ascii="仿宋_GB2312" w:hAnsi="仿宋_GB2312" w:eastAsia="仿宋_GB2312" w:cs="仿宋_GB2312"/>
          <w:color w:val="000000"/>
          <w:sz w:val="32"/>
          <w:highlight w:val="none"/>
          <w:u w:val="none"/>
          <w:lang w:eastAsia="zh-CN"/>
        </w:rPr>
        <w:t>全面贯彻落实婚姻登记“全国通办”政策</w:t>
      </w:r>
      <w:r>
        <w:rPr>
          <w:rFonts w:hint="eastAsia" w:ascii="仿宋_GB2312" w:hAnsi="仿宋_GB2312" w:eastAsia="仿宋_GB2312" w:cs="仿宋_GB2312"/>
          <w:color w:val="000000"/>
          <w:sz w:val="32"/>
          <w:highlight w:val="none"/>
          <w:u w:val="none"/>
          <w:lang w:eastAsia="zh-CN"/>
        </w:rPr>
        <w:t>，</w:t>
      </w:r>
      <w:r>
        <w:rPr>
          <w:rFonts w:hint="default" w:ascii="仿宋_GB2312" w:hAnsi="仿宋_GB2312" w:eastAsia="仿宋_GB2312" w:cs="仿宋_GB2312"/>
          <w:color w:val="000000"/>
          <w:sz w:val="32"/>
          <w:highlight w:val="none"/>
          <w:u w:val="none"/>
          <w:lang w:eastAsia="zh-CN"/>
        </w:rPr>
        <w:t>严把婚姻登记“三关”审核，坚持“不办完不打烊”和“五心”服务，确保高峰期服务有序、安全、高效。</w:t>
      </w:r>
      <w:r>
        <w:rPr>
          <w:rFonts w:ascii="仿宋_GB2312" w:hAnsi="仿宋_GB2312" w:eastAsia="仿宋_GB2312" w:cs="仿宋_GB2312"/>
          <w:i w:val="0"/>
          <w:strike w:val="0"/>
          <w:color w:val="000000"/>
          <w:spacing w:val="0"/>
          <w:sz w:val="32"/>
          <w:highlight w:val="none"/>
          <w:u w:val="none"/>
          <w:lang w:val="en-US" w:eastAsia="zh-CN"/>
        </w:rPr>
        <w:t>探索面向国际婚姻、跨境家庭提供便捷化、国际化登记服务</w:t>
      </w:r>
      <w:r>
        <w:rPr>
          <w:rFonts w:hint="eastAsia" w:ascii="仿宋_GB2312" w:hAnsi="仿宋_GB2312" w:eastAsia="仿宋_GB2312" w:cs="仿宋_GB2312"/>
          <w:i w:val="0"/>
          <w:strike w:val="0"/>
          <w:color w:val="000000"/>
          <w:spacing w:val="0"/>
          <w:sz w:val="32"/>
          <w:highlight w:val="none"/>
          <w:u w:val="none"/>
          <w:lang w:val="en-US" w:eastAsia="zh-CN"/>
        </w:rPr>
        <w:t>。</w:t>
      </w:r>
      <w:r>
        <w:rPr>
          <w:rFonts w:hint="default" w:ascii="仿宋_GB2312" w:hAnsi="仿宋_GB2312" w:eastAsia="仿宋_GB2312" w:cs="仿宋_GB2312"/>
          <w:color w:val="000000"/>
          <w:sz w:val="32"/>
          <w:highlight w:val="none"/>
          <w:u w:val="none"/>
          <w:lang w:eastAsia="zh-CN"/>
        </w:rPr>
        <w:t>加强婚姻登记队伍专业化建设，开展常态化政策及服务培训，提升服务意识和业务水平。</w:t>
      </w:r>
    </w:p>
    <w:p w14:paraId="24A192C1">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default" w:ascii="仿宋_GB2312" w:hAnsi="仿宋_GB2312" w:eastAsia="仿宋_GB2312" w:cs="仿宋_GB2312"/>
          <w:b/>
          <w:bCs/>
          <w:color w:val="000000"/>
          <w:sz w:val="32"/>
          <w:highlight w:val="none"/>
          <w:u w:val="none"/>
          <w:lang w:eastAsia="zh-CN"/>
        </w:rPr>
        <w:t>强化婚姻登记阵地建设。</w:t>
      </w:r>
      <w:r>
        <w:rPr>
          <w:rFonts w:hint="default" w:ascii="仿宋_GB2312" w:hAnsi="仿宋_GB2312" w:eastAsia="仿宋_GB2312" w:cs="仿宋_GB2312"/>
          <w:color w:val="000000"/>
          <w:sz w:val="32"/>
          <w:highlight w:val="none"/>
          <w:u w:val="none"/>
          <w:lang w:eastAsia="zh-CN"/>
        </w:rPr>
        <w:t>推动婚姻登记场所升级改造，增强群众办事的便捷度和满意度，建设环境优美、功能齐全、交通便利的婚姻登记机关。</w:t>
      </w:r>
      <w:r>
        <w:rPr>
          <w:rFonts w:ascii="仿宋_GB2312" w:hAnsi="仿宋_GB2312" w:eastAsia="仿宋_GB2312" w:cs="仿宋_GB2312"/>
          <w:i w:val="0"/>
          <w:strike w:val="0"/>
          <w:color w:val="000000"/>
          <w:spacing w:val="0"/>
          <w:sz w:val="32"/>
          <w:highlight w:val="none"/>
          <w:u w:val="none"/>
        </w:rPr>
        <w:t>融入滨海元素和岭南文化特色，结合摩天轮、滨海廊桥等城市地标设置户外颁证基地，打造“最美滨海婚姻登记处”，形成“宝安滨海特色”的幸福地标，</w:t>
      </w:r>
      <w:r>
        <w:rPr>
          <w:rFonts w:ascii="仿宋_GB2312" w:hAnsi="仿宋_GB2312" w:eastAsia="仿宋_GB2312" w:cs="仿宋_GB2312"/>
          <w:i w:val="0"/>
          <w:strike w:val="0"/>
          <w:color w:val="000000"/>
          <w:spacing w:val="0"/>
          <w:sz w:val="32"/>
          <w:highlight w:val="none"/>
          <w:u w:val="none"/>
          <w:lang w:val="en-US" w:eastAsia="zh-CN"/>
        </w:rPr>
        <w:t>塑造“缘起滨海·幸福宝安”婚姻文化IP，</w:t>
      </w:r>
      <w:r>
        <w:rPr>
          <w:rFonts w:ascii="仿宋_GB2312" w:hAnsi="仿宋_GB2312" w:eastAsia="仿宋_GB2312" w:cs="仿宋_GB2312"/>
          <w:i w:val="0"/>
          <w:strike w:val="0"/>
          <w:color w:val="000000"/>
          <w:spacing w:val="0"/>
          <w:sz w:val="32"/>
          <w:highlight w:val="none"/>
          <w:u w:val="none"/>
        </w:rPr>
        <w:t>增强婚姻</w:t>
      </w:r>
      <w:r>
        <w:rPr>
          <w:rFonts w:ascii="仿宋_GB2312" w:hAnsi="仿宋_GB2312" w:eastAsia="仿宋_GB2312" w:cs="仿宋_GB2312"/>
          <w:i w:val="0"/>
          <w:strike w:val="0"/>
          <w:color w:val="000000"/>
          <w:spacing w:val="0"/>
          <w:sz w:val="32"/>
          <w:highlight w:val="none"/>
          <w:u w:val="none"/>
          <w:lang w:val="en-US" w:eastAsia="zh-CN"/>
        </w:rPr>
        <w:t>服务</w:t>
      </w:r>
      <w:r>
        <w:rPr>
          <w:rFonts w:ascii="仿宋_GB2312" w:hAnsi="仿宋_GB2312" w:eastAsia="仿宋_GB2312" w:cs="仿宋_GB2312"/>
          <w:i w:val="0"/>
          <w:strike w:val="0"/>
          <w:color w:val="000000"/>
          <w:spacing w:val="0"/>
          <w:sz w:val="32"/>
          <w:highlight w:val="none"/>
          <w:u w:val="none"/>
        </w:rPr>
        <w:t>的仪式感和公众参与度。</w:t>
      </w:r>
    </w:p>
    <w:p w14:paraId="5054237B">
      <w:pPr>
        <w:spacing w:line="560" w:lineRule="exact"/>
        <w:ind w:left="0" w:firstLine="640" w:firstLineChars="200"/>
        <w:rPr>
          <w:rFonts w:hint="default" w:ascii="仿宋_GB2312" w:hAnsi="仿宋_GB2312" w:eastAsia="仿宋_GB2312" w:cs="仿宋_GB2312"/>
          <w:color w:val="000000"/>
          <w:sz w:val="32"/>
          <w:highlight w:val="none"/>
          <w:u w:val="none"/>
          <w:lang w:eastAsia="zh-CN"/>
        </w:rPr>
      </w:pPr>
      <w:r>
        <w:rPr>
          <w:rFonts w:hint="default" w:ascii="仿宋_GB2312" w:hAnsi="仿宋_GB2312" w:eastAsia="仿宋_GB2312" w:cs="仿宋_GB2312"/>
          <w:b/>
          <w:bCs/>
          <w:color w:val="000000"/>
          <w:sz w:val="32"/>
          <w:highlight w:val="none"/>
          <w:u w:val="none"/>
          <w:lang w:eastAsia="zh-CN"/>
        </w:rPr>
        <w:t>深化婚姻家庭辅导与婚俗改革。</w:t>
      </w:r>
      <w:r>
        <w:rPr>
          <w:rFonts w:hint="eastAsia" w:ascii="仿宋_GB2312" w:hAnsi="仿宋_GB2312" w:eastAsia="仿宋_GB2312" w:cs="仿宋_GB2312"/>
          <w:i w:val="0"/>
          <w:strike w:val="0"/>
          <w:color w:val="000000"/>
          <w:spacing w:val="0"/>
          <w:sz w:val="32"/>
          <w:highlight w:val="none"/>
          <w:u w:val="none"/>
          <w:lang w:eastAsia="zh-CN"/>
        </w:rPr>
        <w:t>持续提升婚姻家庭辅导服务，探索打造综合性家庭婚姻辅导中心，</w:t>
      </w:r>
      <w:r>
        <w:rPr>
          <w:rFonts w:hint="eastAsia" w:ascii="仿宋_GB2312" w:hAnsi="仿宋_GB2312" w:eastAsia="仿宋_GB2312" w:cs="仿宋_GB2312"/>
          <w:i w:val="0"/>
          <w:strike w:val="0"/>
          <w:color w:val="000000"/>
          <w:spacing w:val="0"/>
          <w:sz w:val="32"/>
          <w:highlight w:val="none"/>
          <w:u w:val="none"/>
          <w:lang w:val="en-US" w:eastAsia="zh-CN"/>
        </w:rPr>
        <w:t>以及</w:t>
      </w:r>
      <w:r>
        <w:rPr>
          <w:rFonts w:hint="default" w:ascii="仿宋_GB2312" w:hAnsi="仿宋_GB2312" w:eastAsia="仿宋_GB2312" w:cs="仿宋_GB2312"/>
          <w:color w:val="000000"/>
          <w:sz w:val="32"/>
          <w:highlight w:val="none"/>
          <w:u w:val="none"/>
          <w:lang w:eastAsia="zh-CN"/>
        </w:rPr>
        <w:t>宝安婚姻家庭辅导特色品牌</w:t>
      </w:r>
      <w:r>
        <w:rPr>
          <w:rFonts w:hint="eastAsia" w:ascii="仿宋_GB2312" w:hAnsi="仿宋_GB2312" w:eastAsia="仿宋_GB2312" w:cs="仿宋_GB2312"/>
          <w:color w:val="000000"/>
          <w:sz w:val="32"/>
          <w:highlight w:val="none"/>
          <w:u w:val="none"/>
          <w:lang w:eastAsia="zh-CN"/>
        </w:rPr>
        <w:t>，构建</w:t>
      </w:r>
      <w:r>
        <w:rPr>
          <w:rFonts w:hint="default" w:ascii="仿宋_GB2312" w:hAnsi="仿宋_GB2312" w:eastAsia="仿宋_GB2312" w:cs="仿宋_GB2312"/>
          <w:color w:val="000000"/>
          <w:sz w:val="32"/>
          <w:highlight w:val="none"/>
          <w:u w:val="none"/>
          <w:lang w:eastAsia="zh-CN"/>
        </w:rPr>
        <w:t>“新婚入门教育＋婚姻关系</w:t>
      </w:r>
      <w:r>
        <w:rPr>
          <w:rFonts w:hint="eastAsia" w:ascii="仿宋_GB2312" w:hAnsi="仿宋_GB2312" w:eastAsia="仿宋_GB2312" w:cs="仿宋_GB2312"/>
          <w:color w:val="000000"/>
          <w:sz w:val="32"/>
          <w:highlight w:val="none"/>
          <w:u w:val="none"/>
          <w:lang w:eastAsia="zh-CN"/>
        </w:rPr>
        <w:t>调适</w:t>
      </w:r>
      <w:r>
        <w:rPr>
          <w:rFonts w:hint="default" w:ascii="仿宋_GB2312" w:hAnsi="仿宋_GB2312" w:eastAsia="仿宋_GB2312" w:cs="仿宋_GB2312"/>
          <w:color w:val="000000"/>
          <w:sz w:val="32"/>
          <w:highlight w:val="none"/>
          <w:u w:val="none"/>
          <w:lang w:eastAsia="zh-CN"/>
        </w:rPr>
        <w:t>＋离婚危机干预”全周期服务链条。推动婚姻家庭教育进社区，弘扬文明婚俗新风，倡导积极婚育观，宣传婚姻</w:t>
      </w:r>
      <w:r>
        <w:rPr>
          <w:rFonts w:hint="eastAsia" w:ascii="仿宋_GB2312" w:hAnsi="仿宋_GB2312" w:eastAsia="仿宋_GB2312" w:cs="仿宋_GB2312"/>
          <w:color w:val="000000"/>
          <w:sz w:val="32"/>
          <w:highlight w:val="none"/>
          <w:u w:val="none"/>
          <w:lang w:eastAsia="zh-CN"/>
        </w:rPr>
        <w:t>相关法律法规</w:t>
      </w:r>
      <w:r>
        <w:rPr>
          <w:rFonts w:hint="default" w:ascii="仿宋_GB2312" w:hAnsi="仿宋_GB2312" w:eastAsia="仿宋_GB2312" w:cs="仿宋_GB2312"/>
          <w:color w:val="000000"/>
          <w:sz w:val="32"/>
          <w:highlight w:val="none"/>
          <w:u w:val="none"/>
          <w:lang w:eastAsia="zh-CN"/>
        </w:rPr>
        <w:t>，引导婚事简办新办，破除高额彩礼陋习。通过举办集体婚礼、甜蜜集市等特色活动，传播积极婚恋文化以及生育观念。持续创新“婚姻服务＋”模式，推动婚姻服务与文商旅深度融合。</w:t>
      </w:r>
    </w:p>
    <w:p w14:paraId="5F260C35">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98" w:name="_Toc16296"/>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lang w:val="en-US" w:eastAsia="zh-CN"/>
        </w:rPr>
        <w:t>二</w:t>
      </w:r>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rPr>
        <w:t>培育“甜蜜经济”产业</w:t>
      </w:r>
      <w:bookmarkEnd w:id="98"/>
    </w:p>
    <w:p w14:paraId="4E33EBA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b/>
          <w:bCs/>
          <w:i w:val="0"/>
          <w:strike w:val="0"/>
          <w:color w:val="000000"/>
          <w:spacing w:val="0"/>
          <w:sz w:val="32"/>
          <w:highlight w:val="none"/>
          <w:u w:val="none"/>
        </w:rPr>
        <w:t>推动“婚姻服务+文旅”深度融合</w:t>
      </w:r>
      <w:r>
        <w:rPr>
          <w:rFonts w:hint="eastAsia" w:ascii="仿宋_GB2312" w:hAnsi="仿宋_GB2312" w:eastAsia="仿宋_GB2312" w:cs="仿宋_GB2312"/>
          <w:i w:val="0"/>
          <w:strike w:val="0"/>
          <w:color w:val="000000"/>
          <w:spacing w:val="0"/>
          <w:sz w:val="32"/>
          <w:highlight w:val="none"/>
          <w:u w:val="none"/>
        </w:rPr>
        <w:t>。融合宝安自然风貌与人文底蕴，依托辖区地标建筑、核心商圈资源，深挖城市特色内涵，聚力塑造辨识度高、口碑影响力强的宝安专属甜蜜经济品牌。</w:t>
      </w:r>
    </w:p>
    <w:p w14:paraId="7A4C3509">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b/>
          <w:bCs/>
          <w:i w:val="0"/>
          <w:strike w:val="0"/>
          <w:color w:val="000000"/>
          <w:spacing w:val="0"/>
          <w:sz w:val="32"/>
          <w:highlight w:val="none"/>
          <w:u w:val="none"/>
        </w:rPr>
        <w:t>延伸婚姻登记服务链条。</w:t>
      </w:r>
      <w:r>
        <w:rPr>
          <w:rFonts w:hint="eastAsia" w:ascii="仿宋_GB2312" w:hAnsi="仿宋_GB2312" w:eastAsia="仿宋_GB2312" w:cs="仿宋_GB2312"/>
          <w:i w:val="0"/>
          <w:strike w:val="0"/>
          <w:color w:val="000000"/>
          <w:spacing w:val="0"/>
          <w:sz w:val="32"/>
          <w:highlight w:val="none"/>
          <w:u w:val="none"/>
        </w:rPr>
        <w:t>拓展“婚姻＋”婚庆、文旅、时尚、餐饮、地产、人工智能等产业融合创新，延伸婚姻登记服务</w:t>
      </w:r>
      <w:r>
        <w:rPr>
          <w:rFonts w:hint="eastAsia" w:ascii="仿宋_GB2312" w:hAnsi="仿宋_GB2312" w:eastAsia="仿宋_GB2312" w:cs="仿宋_GB2312"/>
          <w:i w:val="0"/>
          <w:strike w:val="0"/>
          <w:color w:val="000000"/>
          <w:spacing w:val="0"/>
          <w:sz w:val="32"/>
          <w:highlight w:val="none"/>
          <w:u w:val="none"/>
          <w:lang w:eastAsia="zh-CN"/>
        </w:rPr>
        <w:t>全链条</w:t>
      </w:r>
      <w:r>
        <w:rPr>
          <w:rFonts w:hint="eastAsia" w:ascii="仿宋_GB2312" w:hAnsi="仿宋_GB2312" w:eastAsia="仿宋_GB2312" w:cs="仿宋_GB2312"/>
          <w:i w:val="0"/>
          <w:strike w:val="0"/>
          <w:color w:val="000000"/>
          <w:spacing w:val="0"/>
          <w:sz w:val="32"/>
          <w:highlight w:val="none"/>
          <w:u w:val="none"/>
        </w:rPr>
        <w:t>。推动婚姻服务从“便捷办理”向“场景体验”升级，重点打造特色婚姻颁证基地，推出“甜蜜地图”婚恋文旅路线。</w:t>
      </w:r>
    </w:p>
    <w:p w14:paraId="03B3BC31">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lang w:val="en-US" w:eastAsia="zh-CN"/>
        </w:rPr>
      </w:pPr>
      <w:r>
        <w:rPr>
          <w:rFonts w:hint="eastAsia" w:ascii="仿宋_GB2312" w:hAnsi="仿宋_GB2312" w:eastAsia="仿宋_GB2312" w:cs="仿宋_GB2312"/>
          <w:b/>
          <w:bCs/>
          <w:i w:val="0"/>
          <w:strike w:val="0"/>
          <w:color w:val="000000"/>
          <w:spacing w:val="0"/>
          <w:sz w:val="32"/>
          <w:highlight w:val="none"/>
          <w:u w:val="none"/>
        </w:rPr>
        <w:t>推动甜蜜经济提质增效。</w:t>
      </w:r>
      <w:r>
        <w:rPr>
          <w:rFonts w:hint="eastAsia" w:ascii="仿宋_GB2312" w:hAnsi="仿宋_GB2312" w:eastAsia="仿宋_GB2312" w:cs="仿宋_GB2312"/>
          <w:i w:val="0"/>
          <w:strike w:val="0"/>
          <w:color w:val="000000"/>
          <w:spacing w:val="0"/>
          <w:sz w:val="32"/>
          <w:highlight w:val="none"/>
          <w:u w:val="none"/>
        </w:rPr>
        <w:t>打造甜蜜经济“一街道一特色”品牌，在文旅商圈设置常态化甜蜜预约点和户外颁证点。组建“甜蜜商家联盟”，推出“宝安甜蜜甄选产品”，持续擦亮区域消费新名片，助力辖区甜蜜经济高质量发展，培育经济增长新亮点。</w:t>
      </w:r>
    </w:p>
    <w:p w14:paraId="191075C7">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99" w:name="_Toc12093"/>
      <w:bookmarkStart w:id="100" w:name="_Toc16407"/>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lang w:val="en-US" w:eastAsia="zh-CN"/>
        </w:rPr>
        <w:t>三</w:t>
      </w:r>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rPr>
        <w:t>深化殡葬管理服务改革</w:t>
      </w:r>
      <w:bookmarkEnd w:id="99"/>
      <w:bookmarkEnd w:id="100"/>
    </w:p>
    <w:p w14:paraId="6F8F7491">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i w:val="0"/>
          <w:strike w:val="0"/>
          <w:color w:val="000000"/>
          <w:sz w:val="32"/>
          <w:highlight w:val="none"/>
          <w:u w:val="none"/>
        </w:rPr>
        <w:t>加快殡葬设施建设。</w:t>
      </w:r>
      <w:r>
        <w:rPr>
          <w:rFonts w:ascii="仿宋_GB2312" w:hAnsi="仿宋_GB2312" w:eastAsia="仿宋_GB2312" w:cs="仿宋_GB2312"/>
          <w:i w:val="0"/>
          <w:strike w:val="0"/>
          <w:color w:val="000000"/>
          <w:sz w:val="32"/>
          <w:highlight w:val="none"/>
          <w:u w:val="none"/>
        </w:rPr>
        <w:t>建成以“生命文化”为主题的公益性生命文化馆，为社会公众特别是青少年提供生命教育平台，力争为深圳补齐短板、在广东形成示范。建成宝山园合葬墓区，积极探索推广节地生态新葬式。不断优化殡葬惠民政策，扩大受益范围，督促殡葬服务机构全面落实服务项目、收费标准、服务内容、服务程序、服务承诺、服务监督“六公开”制度。</w:t>
      </w:r>
    </w:p>
    <w:p w14:paraId="10A96B3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bCs/>
          <w:i w:val="0"/>
          <w:strike w:val="0"/>
          <w:color w:val="000000"/>
          <w:sz w:val="32"/>
          <w:highlight w:val="none"/>
          <w:u w:val="none"/>
        </w:rPr>
        <w:t>推行绿色文明殡葬新风尚。</w:t>
      </w:r>
      <w:r>
        <w:rPr>
          <w:rFonts w:hint="default" w:ascii="仿宋_GB2312" w:hAnsi="仿宋_GB2312" w:eastAsia="仿宋_GB2312" w:cs="仿宋_GB2312"/>
          <w:i w:val="0"/>
          <w:strike w:val="0"/>
          <w:color w:val="000000"/>
          <w:sz w:val="32"/>
          <w:highlight w:val="none"/>
          <w:u w:val="none"/>
        </w:rPr>
        <w:t>探索在部分墓区开展无烟祭祀试点，推广电子香烛、鲜花祭扫等文明低碳祭奠方式，营造安全、环保、</w:t>
      </w:r>
      <w:r>
        <w:rPr>
          <w:rFonts w:hint="eastAsia" w:ascii="仿宋_GB2312" w:hAnsi="仿宋_GB2312" w:eastAsia="仿宋_GB2312" w:cs="仿宋_GB2312"/>
          <w:i w:val="0"/>
          <w:strike w:val="0"/>
          <w:color w:val="000000"/>
          <w:sz w:val="32"/>
          <w:highlight w:val="none"/>
          <w:u w:val="none"/>
          <w:lang w:eastAsia="zh-CN"/>
        </w:rPr>
        <w:t>肃穆</w:t>
      </w:r>
      <w:r>
        <w:rPr>
          <w:rFonts w:hint="default" w:ascii="仿宋_GB2312" w:hAnsi="仿宋_GB2312" w:eastAsia="仿宋_GB2312" w:cs="仿宋_GB2312"/>
          <w:i w:val="0"/>
          <w:strike w:val="0"/>
          <w:color w:val="000000"/>
          <w:sz w:val="32"/>
          <w:highlight w:val="none"/>
          <w:u w:val="none"/>
        </w:rPr>
        <w:t>的祭扫环境。深入挖掘阐释清明节等传统节日的文化内涵，弘扬尊重生命、孝老敬亲、厚养礼葬等思想文化，培育现代殡葬新理念。</w:t>
      </w:r>
    </w:p>
    <w:p w14:paraId="4D798503">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b/>
          <w:bCs/>
          <w:i w:val="0"/>
          <w:strike w:val="0"/>
          <w:color w:val="000000"/>
          <w:sz w:val="32"/>
          <w:highlight w:val="none"/>
          <w:u w:val="none"/>
        </w:rPr>
        <w:t>深化丧葬习俗与生态安葬改革。</w:t>
      </w:r>
      <w:r>
        <w:rPr>
          <w:rFonts w:hint="default" w:ascii="仿宋_GB2312" w:hAnsi="仿宋_GB2312" w:eastAsia="仿宋_GB2312" w:cs="仿宋_GB2312"/>
          <w:i w:val="0"/>
          <w:strike w:val="0"/>
          <w:color w:val="000000"/>
          <w:sz w:val="32"/>
          <w:highlight w:val="none"/>
          <w:u w:val="none"/>
        </w:rPr>
        <w:t>积极推广壁葬、树葬、草坪葬等节地生态安葬方式，探索墓穴扩容性使用，鼓励和引导群众采用不占或少占土地、少耗资源的方式安葬骨灰，并积极落实生态安葬奖补制度。持续举办宝安区生态葬公益活动，创新仪式流程，增强吸引力和感染力，不断提升节地生态葬的社会认知度与接受度。</w:t>
      </w:r>
    </w:p>
    <w:p w14:paraId="6BE524C5">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rFonts w:hint="eastAsia" w:ascii="仿宋_GB2312" w:hAnsi="仿宋_GB2312" w:eastAsia="仿宋_GB2312" w:cs="仿宋_GB2312"/>
          <w:b/>
          <w:bCs/>
          <w:i w:val="0"/>
          <w:strike w:val="0"/>
          <w:color w:val="000000"/>
          <w:sz w:val="32"/>
          <w:highlight w:val="none"/>
          <w:u w:val="none"/>
          <w:lang w:val="en-US" w:eastAsia="zh-CN"/>
        </w:rPr>
      </w:pPr>
      <w:bookmarkStart w:id="101" w:name="_Toc15717"/>
      <w:bookmarkStart w:id="102" w:name="_Toc27220"/>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lang w:val="en-US" w:eastAsia="zh-CN"/>
        </w:rPr>
        <w:t>四</w:t>
      </w:r>
      <w:r>
        <w:rPr>
          <w:rFonts w:ascii="楷体_GB2312" w:hAnsi="楷体_GB2312" w:eastAsia="楷体_GB2312" w:cs="楷体_GB2312"/>
          <w:i w:val="0"/>
          <w:strike w:val="0"/>
          <w:color w:val="000000"/>
          <w:spacing w:val="0"/>
          <w:sz w:val="32"/>
          <w:highlight w:val="none"/>
          <w:u w:val="none"/>
        </w:rPr>
        <w:t>）</w:t>
      </w:r>
      <w:bookmarkEnd w:id="101"/>
      <w:r>
        <w:rPr>
          <w:rFonts w:hint="eastAsia" w:ascii="楷体_GB2312" w:hAnsi="楷体_GB2312" w:eastAsia="楷体_GB2312" w:cs="楷体_GB2312"/>
          <w:i w:val="0"/>
          <w:strike w:val="0"/>
          <w:color w:val="000000"/>
          <w:spacing w:val="0"/>
          <w:sz w:val="32"/>
          <w:highlight w:val="none"/>
          <w:u w:val="none"/>
        </w:rPr>
        <w:t>健全残疾人关爱服务体系</w:t>
      </w:r>
      <w:bookmarkEnd w:id="102"/>
    </w:p>
    <w:p w14:paraId="1DFEE405">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val="en-US" w:eastAsia="zh-CN"/>
        </w:rPr>
      </w:pPr>
      <w:r>
        <w:rPr>
          <w:rFonts w:hint="eastAsia" w:ascii="仿宋_GB2312" w:hAnsi="仿宋_GB2312" w:eastAsia="仿宋_GB2312" w:cs="仿宋_GB2312"/>
          <w:b/>
          <w:bCs/>
          <w:i w:val="0"/>
          <w:strike w:val="0"/>
          <w:color w:val="000000"/>
          <w:sz w:val="32"/>
          <w:highlight w:val="none"/>
          <w:u w:val="none"/>
          <w:lang w:val="en-US" w:eastAsia="zh-CN"/>
        </w:rPr>
        <w:t>强化补贴精准管理。</w:t>
      </w:r>
      <w:r>
        <w:rPr>
          <w:rFonts w:ascii="仿宋_GB2312" w:hAnsi="仿宋_GB2312" w:eastAsia="仿宋_GB2312" w:cs="仿宋_GB2312"/>
          <w:i w:val="0"/>
          <w:strike w:val="0"/>
          <w:color w:val="000000"/>
          <w:sz w:val="32"/>
          <w:highlight w:val="none"/>
          <w:u w:val="none"/>
        </w:rPr>
        <w:t>强化残疾人补贴精准管理工作，</w:t>
      </w:r>
      <w:r>
        <w:rPr>
          <w:rFonts w:hint="eastAsia" w:ascii="仿宋_GB2312" w:hAnsi="仿宋_GB2312" w:eastAsia="仿宋_GB2312" w:cs="仿宋_GB2312"/>
          <w:i w:val="0"/>
          <w:strike w:val="0"/>
          <w:color w:val="000000"/>
          <w:sz w:val="32"/>
          <w:highlight w:val="none"/>
          <w:u w:val="none"/>
          <w:lang w:val="en-US" w:eastAsia="zh-CN"/>
        </w:rPr>
        <w:t>开展补贴对象动态复核，加强资金发放和使用监管，确保资金及时足额发放到位。加强政策宣传，持续强化“跨省通办”“全程网办”“主动服务”等便民举措，实现由“人找政策”变为“政策找人”，确保应享尽享、应退尽退。</w:t>
      </w:r>
    </w:p>
    <w:p w14:paraId="7E4622F1">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val="en-US" w:eastAsia="zh-CN"/>
        </w:rPr>
      </w:pPr>
      <w:r>
        <w:rPr>
          <w:rFonts w:hint="eastAsia" w:ascii="仿宋_GB2312" w:hAnsi="仿宋_GB2312" w:eastAsia="仿宋_GB2312" w:cs="仿宋_GB2312"/>
          <w:b/>
          <w:bCs/>
          <w:i w:val="0"/>
          <w:strike w:val="0"/>
          <w:color w:val="000000"/>
          <w:sz w:val="32"/>
          <w:highlight w:val="none"/>
          <w:u w:val="none"/>
          <w:lang w:val="en-US" w:eastAsia="zh-CN"/>
        </w:rPr>
        <w:t>深化“精康融合”服务行动。</w:t>
      </w:r>
      <w:r>
        <w:rPr>
          <w:rFonts w:hint="eastAsia" w:ascii="仿宋_GB2312" w:hAnsi="仿宋_GB2312" w:eastAsia="仿宋_GB2312" w:cs="仿宋_GB2312"/>
          <w:i w:val="0"/>
          <w:strike w:val="0"/>
          <w:color w:val="000000"/>
          <w:sz w:val="32"/>
          <w:highlight w:val="none"/>
          <w:u w:val="none"/>
          <w:lang w:val="en-US" w:eastAsia="zh-CN"/>
        </w:rPr>
        <w:t>会同财政、卫健、残联等部门，依托已建成的精神障碍社区康复机构，建立规范的精神障碍社区康复服务体系。面向有康复需求的精神障碍患者提供个性化康复服务，编制推广暖心服务指南，开展康复者自我管理能力培训和照顾者赋能计划。</w:t>
      </w:r>
    </w:p>
    <w:p w14:paraId="0BDFE25E">
      <w:pPr>
        <w:pageBreakBefore w:val="0"/>
        <w:widowControl w:val="0"/>
        <w:kinsoku/>
        <w:wordWrap/>
        <w:overflowPunct/>
        <w:topLinePunct w:val="0"/>
        <w:autoSpaceDE/>
        <w:autoSpaceDN/>
        <w:bidi w:val="0"/>
        <w:adjustRightInd/>
        <w:snapToGrid w:val="0"/>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val="en-US" w:eastAsia="zh-CN"/>
        </w:rPr>
      </w:pPr>
      <w:r>
        <w:rPr>
          <w:rFonts w:hint="eastAsia" w:ascii="仿宋_GB2312" w:hAnsi="仿宋_GB2312" w:eastAsia="仿宋_GB2312" w:cs="仿宋_GB2312"/>
          <w:b/>
          <w:bCs/>
          <w:i w:val="0"/>
          <w:strike w:val="0"/>
          <w:color w:val="000000"/>
          <w:sz w:val="32"/>
          <w:highlight w:val="none"/>
          <w:u w:val="none"/>
          <w:lang w:val="en-US" w:eastAsia="zh-CN"/>
        </w:rPr>
        <w:t>探索多元照护安置模式。</w:t>
      </w:r>
      <w:r>
        <w:rPr>
          <w:rFonts w:hint="eastAsia" w:ascii="仿宋_GB2312" w:hAnsi="仿宋_GB2312" w:eastAsia="仿宋_GB2312" w:cs="仿宋_GB2312"/>
          <w:i w:val="0"/>
          <w:strike w:val="0"/>
          <w:color w:val="000000"/>
          <w:sz w:val="32"/>
          <w:highlight w:val="none"/>
          <w:u w:val="none"/>
          <w:lang w:val="en-US" w:eastAsia="zh-CN"/>
        </w:rPr>
        <w:t>探索“老年父母+残疾子女”家庭共同入住养老机构或其他照护机构的可行路径，支持有能力的养老机构收住重度残疾人，为特殊困难家庭提供多样化的照护选择。</w:t>
      </w:r>
    </w:p>
    <w:p w14:paraId="7CAEF9B2">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03" w:name="_Toc25973"/>
      <w:bookmarkStart w:id="104" w:name="_Toc12340"/>
      <w:r>
        <w:rPr>
          <w:rFonts w:ascii="楷体_GB2312" w:hAnsi="楷体_GB2312" w:eastAsia="楷体_GB2312" w:cs="楷体_GB2312"/>
          <w:i w:val="0"/>
          <w:strike w:val="0"/>
          <w:color w:val="000000"/>
          <w:spacing w:val="0"/>
          <w:sz w:val="32"/>
          <w:highlight w:val="none"/>
          <w:u w:val="none"/>
        </w:rPr>
        <w:t>（</w:t>
      </w:r>
      <w:r>
        <w:rPr>
          <w:rFonts w:hint="eastAsia" w:ascii="楷体_GB2312" w:hAnsi="楷体_GB2312" w:eastAsia="楷体_GB2312" w:cs="楷体_GB2312"/>
          <w:i w:val="0"/>
          <w:strike w:val="0"/>
          <w:color w:val="000000"/>
          <w:spacing w:val="0"/>
          <w:sz w:val="32"/>
          <w:highlight w:val="none"/>
          <w:u w:val="none"/>
          <w:lang w:val="en-US" w:eastAsia="zh-CN"/>
        </w:rPr>
        <w:t>五</w:t>
      </w:r>
      <w:r>
        <w:rPr>
          <w:rFonts w:ascii="楷体_GB2312" w:hAnsi="楷体_GB2312" w:eastAsia="楷体_GB2312" w:cs="楷体_GB2312"/>
          <w:i w:val="0"/>
          <w:strike w:val="0"/>
          <w:color w:val="000000"/>
          <w:spacing w:val="0"/>
          <w:sz w:val="32"/>
          <w:highlight w:val="none"/>
          <w:u w:val="none"/>
        </w:rPr>
        <w:t>）</w:t>
      </w:r>
      <w:bookmarkEnd w:id="103"/>
      <w:r>
        <w:rPr>
          <w:rFonts w:hint="eastAsia" w:ascii="楷体_GB2312" w:hAnsi="楷体_GB2312" w:eastAsia="楷体_GB2312" w:cs="楷体_GB2312"/>
          <w:i w:val="0"/>
          <w:strike w:val="0"/>
          <w:color w:val="000000"/>
          <w:spacing w:val="0"/>
          <w:sz w:val="32"/>
          <w:highlight w:val="none"/>
          <w:u w:val="none"/>
        </w:rPr>
        <w:t>加强行政区划规范化管理</w:t>
      </w:r>
      <w:bookmarkEnd w:id="104"/>
    </w:p>
    <w:p w14:paraId="659D522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b/>
          <w:bCs/>
          <w:i w:val="0"/>
          <w:strike w:val="0"/>
          <w:color w:val="000000"/>
          <w:spacing w:val="0"/>
          <w:sz w:val="32"/>
          <w:highlight w:val="none"/>
          <w:u w:val="none"/>
        </w:rPr>
        <w:t>优化行政区划设置与研究工作。</w:t>
      </w:r>
      <w:r>
        <w:rPr>
          <w:rFonts w:hint="default" w:ascii="仿宋_GB2312" w:hAnsi="仿宋_GB2312" w:eastAsia="仿宋_GB2312" w:cs="仿宋_GB2312"/>
          <w:i w:val="0"/>
          <w:strike w:val="0"/>
          <w:color w:val="000000"/>
          <w:spacing w:val="0"/>
          <w:sz w:val="32"/>
          <w:highlight w:val="none"/>
          <w:u w:val="none"/>
        </w:rPr>
        <w:t>围绕宝安区建设发展需要，结合国土空间规划和新型城镇化进程，加强行政区划设置的科学研究和规范管理。严格落实上级法规与调整要求，</w:t>
      </w:r>
      <w:r>
        <w:rPr>
          <w:rFonts w:hint="default" w:ascii="仿宋_GB2312" w:hAnsi="仿宋_GB2312" w:eastAsia="仿宋_GB2312" w:cs="仿宋_GB2312"/>
          <w:i w:val="0"/>
          <w:strike w:val="0"/>
          <w:color w:val="000000"/>
          <w:spacing w:val="0"/>
          <w:sz w:val="32"/>
          <w:highlight w:val="none"/>
          <w:u w:val="none"/>
          <w:lang w:val="en-US" w:eastAsia="zh-CN"/>
        </w:rPr>
        <w:t>优化街道行政区划设置，为经济发展、社区治理和资源配置提供有力支撑。</w:t>
      </w:r>
    </w:p>
    <w:p w14:paraId="131F5E3B">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hint="default" w:ascii="仿宋_GB2312" w:hAnsi="仿宋_GB2312" w:eastAsia="仿宋_GB2312" w:cs="仿宋_GB2312"/>
          <w:b/>
          <w:bCs/>
          <w:i w:val="0"/>
          <w:strike w:val="0"/>
          <w:color w:val="000000"/>
          <w:spacing w:val="0"/>
          <w:sz w:val="32"/>
          <w:highlight w:val="none"/>
          <w:u w:val="none"/>
        </w:rPr>
        <w:t>加强行政区域界线管理维护。</w:t>
      </w:r>
      <w:r>
        <w:rPr>
          <w:rFonts w:hint="default" w:ascii="仿宋_GB2312" w:hAnsi="仿宋_GB2312" w:eastAsia="仿宋_GB2312" w:cs="仿宋_GB2312"/>
          <w:i w:val="0"/>
          <w:strike w:val="0"/>
          <w:color w:val="000000"/>
          <w:spacing w:val="0"/>
          <w:sz w:val="32"/>
          <w:highlight w:val="none"/>
          <w:u w:val="none"/>
        </w:rPr>
        <w:t>定期组织街道间界线联合检查，规范档案管理，巩固勘界成果，确保界线清晰、界桩位置明确。系统整理区、街道行政区域界线协议书及附图，形成完整、规范的区级界线成果资料，为基层治理和社区服务提供准确可靠的区划依据。</w:t>
      </w:r>
    </w:p>
    <w:p w14:paraId="4689FF9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pacing w:val="0"/>
          <w:sz w:val="32"/>
          <w:highlight w:val="none"/>
          <w:u w:val="none"/>
        </w:rPr>
      </w:pPr>
      <w:r>
        <w:rPr>
          <w:rFonts w:hint="default" w:ascii="仿宋_GB2312" w:hAnsi="仿宋_GB2312" w:eastAsia="仿宋_GB2312" w:cs="仿宋_GB2312"/>
          <w:b/>
          <w:bCs/>
          <w:i w:val="0"/>
          <w:strike w:val="0"/>
          <w:color w:val="000000"/>
          <w:spacing w:val="0"/>
          <w:sz w:val="32"/>
          <w:highlight w:val="none"/>
          <w:u w:val="none"/>
        </w:rPr>
        <w:t>深化平安边界建设。</w:t>
      </w:r>
      <w:r>
        <w:rPr>
          <w:rFonts w:hint="default" w:ascii="仿宋_GB2312" w:hAnsi="仿宋_GB2312" w:eastAsia="仿宋_GB2312" w:cs="仿宋_GB2312"/>
          <w:i w:val="0"/>
          <w:strike w:val="0"/>
          <w:color w:val="000000"/>
          <w:spacing w:val="0"/>
          <w:sz w:val="32"/>
          <w:highlight w:val="none"/>
          <w:u w:val="none"/>
        </w:rPr>
        <w:t>健全日常巡查与隐患化解机制，及时预防和处理边界争议，提升区划管理服务全区治理的能力，维护基层社会稳定。</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4D45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3081CC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5</w:t>
            </w:r>
            <w:r>
              <w:rPr>
                <w:rFonts w:eastAsia="仿宋_GB2312" w:cs="Times New Roman"/>
                <w:b/>
                <w:bCs/>
                <w:kern w:val="0"/>
                <w:sz w:val="28"/>
                <w:szCs w:val="28"/>
              </w:rPr>
              <w:t xml:space="preserve">  基层服务与民政文化建设工程</w:t>
            </w:r>
          </w:p>
        </w:tc>
      </w:tr>
      <w:tr w14:paraId="594A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trPr>
        <w:tc>
          <w:tcPr>
            <w:tcW w:w="8948" w:type="dxa"/>
            <w:noWrap w:val="0"/>
            <w:vAlign w:val="top"/>
          </w:tcPr>
          <w:p w14:paraId="49D4C9B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lang w:eastAsia="zh-CN"/>
              </w:rPr>
              <w:t>街道</w:t>
            </w:r>
            <w:r>
              <w:rPr>
                <w:rFonts w:hint="eastAsia" w:eastAsia="仿宋_GB2312" w:cs="Times New Roman"/>
                <w:b/>
                <w:bCs/>
                <w:kern w:val="0"/>
                <w:sz w:val="28"/>
                <w:szCs w:val="28"/>
                <w:lang w:val="en-US" w:eastAsia="zh-CN"/>
              </w:rPr>
              <w:t>民政</w:t>
            </w:r>
            <w:r>
              <w:rPr>
                <w:rFonts w:hint="eastAsia" w:eastAsia="仿宋_GB2312" w:cs="Times New Roman"/>
                <w:b/>
                <w:bCs/>
                <w:kern w:val="0"/>
                <w:sz w:val="28"/>
                <w:szCs w:val="28"/>
                <w:lang w:eastAsia="zh-CN"/>
              </w:rPr>
              <w:t>服务站融合提质工程。</w:t>
            </w:r>
            <w:r>
              <w:rPr>
                <w:rFonts w:hint="eastAsia" w:eastAsia="仿宋_GB2312" w:cs="Times New Roman"/>
                <w:kern w:val="0"/>
                <w:sz w:val="28"/>
                <w:szCs w:val="28"/>
                <w:lang w:eastAsia="zh-CN"/>
              </w:rPr>
              <w:t>全面落实《深圳市民政局关于支持开展政府购买服务进一步增强兜底民生服务能力的通知》要求，按照“统筹规划、合理布局、稳步推进”原则，到2030年底前实现全区所有街道</w:t>
            </w:r>
            <w:r>
              <w:rPr>
                <w:rFonts w:hint="eastAsia" w:eastAsia="仿宋_GB2312" w:cs="Times New Roman"/>
                <w:kern w:val="0"/>
                <w:sz w:val="28"/>
                <w:szCs w:val="28"/>
                <w:lang w:val="en-US" w:eastAsia="zh-CN"/>
              </w:rPr>
              <w:t>民政</w:t>
            </w:r>
            <w:r>
              <w:rPr>
                <w:rFonts w:hint="eastAsia" w:eastAsia="仿宋_GB2312" w:cs="Times New Roman"/>
                <w:kern w:val="0"/>
                <w:sz w:val="28"/>
                <w:szCs w:val="28"/>
                <w:lang w:eastAsia="zh-CN"/>
              </w:rPr>
              <w:t>服务站融合建设全覆盖。整合双百社工站、社会救助服务站、服务类社会救助试点等基层服务力量，由区民政部门通过政府购买服务方式统一招标社会力量承接运营，每个站点配备不少于5名专职人员。建立“五个一套”标准体系（一套工作机制、一套服务指引、一套信息平台、一套工作台账、一套服务清单），构建跨部门协同机制，精准服务“老少弱困”群体。</w:t>
            </w:r>
          </w:p>
          <w:p w14:paraId="108CB2C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lang w:eastAsia="zh-CN"/>
              </w:rPr>
              <w:t>“精康融合”社区康复增效工程。</w:t>
            </w:r>
            <w:r>
              <w:rPr>
                <w:rFonts w:hint="eastAsia" w:eastAsia="仿宋_GB2312" w:cs="Times New Roman"/>
                <w:kern w:val="0"/>
                <w:sz w:val="28"/>
                <w:szCs w:val="28"/>
                <w:lang w:eastAsia="zh-CN"/>
              </w:rPr>
              <w:t>创新构建“民政牵头、部门联动、专业支撑、社会参与”的精神障碍社区康复服务网络，整合民政、卫健、残联、街道、社工及志愿者等多方力量协同推进。聚焦患者及其家庭的迫切需求，编制并推广暖心服务指南，常态化开展康复者自我管理能力培训和照顾者赋能计划。持续加强社区康复服务阵地建设，确保困难残疾人生活补贴覆盖率和重度残疾人护理补贴覆盖率均保持100%，推动形成全社会关心支持精神健康的良好氛围。</w:t>
            </w:r>
          </w:p>
          <w:p w14:paraId="66374B7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val="en-US" w:eastAsia="zh-CN"/>
              </w:rPr>
            </w:pPr>
            <w:r>
              <w:rPr>
                <w:rFonts w:hint="eastAsia" w:eastAsia="仿宋_GB2312" w:cs="Times New Roman"/>
                <w:b/>
                <w:bCs/>
                <w:kern w:val="0"/>
                <w:sz w:val="28"/>
                <w:szCs w:val="28"/>
                <w:lang w:val="en-US" w:eastAsia="zh-CN"/>
              </w:rPr>
              <w:t>民政文化馆建设提质工程。</w:t>
            </w:r>
            <w:r>
              <w:rPr>
                <w:rFonts w:hint="eastAsia" w:eastAsia="仿宋_GB2312" w:cs="Times New Roman"/>
                <w:kern w:val="0"/>
                <w:sz w:val="28"/>
                <w:szCs w:val="28"/>
                <w:lang w:val="en-US" w:eastAsia="zh-CN"/>
              </w:rPr>
              <w:t>依托宝山园殡葬设施基础，高标准建设以生命教育为核心主题的民政文化馆。集成生命文化展示、青少年社会实践、公众悼念追思、民政文化展览等多元功能，同步挂牌廉政教育基地。构建民政文化传播平台，为深圳殡葬服务改革提供文化支撑，力争在广东形成示范、供全国参考借鉴。</w:t>
            </w:r>
          </w:p>
          <w:p w14:paraId="31999E2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val="en-US" w:eastAsia="zh-CN"/>
              </w:rPr>
            </w:pPr>
            <w:r>
              <w:rPr>
                <w:rFonts w:hint="eastAsia" w:eastAsia="仿宋_GB2312" w:cs="Times New Roman"/>
                <w:b/>
                <w:bCs/>
                <w:kern w:val="0"/>
                <w:sz w:val="28"/>
                <w:szCs w:val="28"/>
                <w:lang w:val="en-US" w:eastAsia="zh-CN"/>
              </w:rPr>
              <w:t>“甜蜜经济”产业链培育工程。</w:t>
            </w:r>
            <w:r>
              <w:rPr>
                <w:rFonts w:hint="eastAsia" w:eastAsia="仿宋_GB2312" w:cs="Times New Roman"/>
                <w:kern w:val="0"/>
                <w:sz w:val="28"/>
                <w:szCs w:val="28"/>
                <w:lang w:val="en-US" w:eastAsia="zh-CN"/>
              </w:rPr>
              <w:t>立足宝安“山海连城”资源禀赋与湾区核心区位优势，系统构建“甜蜜政务引领、产业聚合、文旅融合、科技赋能”全链条生态。壮大产业主体，探索推动成立甜蜜经济协会，重点培育婚庆服务、婚纱摄影等领域“专精特新”企业和龙头企业；强化人才支撑，动态增配婚姻登记专职人员，打造“金牌登记员+婚恋咨询师”复合型队伍；深化场景创新，打造“滨海浪漫婚旅带”，绘制“滨海甜蜜地图”，开发“婚恋+低空观光”“婚恋+数字藏品”等沉浸式产品，探索举办宝安婚恋文化节等IP活动；推动科技赋能，实现电子请柬、AI情感咨询全流程数智化服务，推出百家商户联名“宝安甜蜜甄选”。到2030年，初步形成具有区域影响力的甜蜜产业集群。</w:t>
            </w:r>
          </w:p>
        </w:tc>
      </w:tr>
    </w:tbl>
    <w:p w14:paraId="00C0273C">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i w:val="0"/>
          <w:strike w:val="0"/>
          <w:color w:val="000000"/>
          <w:spacing w:val="0"/>
          <w:sz w:val="32"/>
          <w:highlight w:val="none"/>
          <w:u w:val="none"/>
        </w:rPr>
      </w:pPr>
      <w:bookmarkStart w:id="105" w:name="_Toc31548"/>
      <w:r>
        <w:rPr>
          <w:rFonts w:hint="eastAsia" w:ascii="黑体" w:hAnsi="黑体" w:eastAsia="黑体" w:cs="黑体"/>
          <w:i w:val="0"/>
          <w:strike w:val="0"/>
          <w:color w:val="000000"/>
          <w:spacing w:val="0"/>
          <w:sz w:val="32"/>
          <w:highlight w:val="none"/>
          <w:u w:val="none"/>
          <w:lang w:val="en-US" w:eastAsia="zh-CN"/>
        </w:rPr>
        <w:t>五、激发现代社会组织发展活力</w:t>
      </w:r>
      <w:bookmarkEnd w:id="95"/>
      <w:bookmarkEnd w:id="105"/>
    </w:p>
    <w:p w14:paraId="44555108">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ascii="仿宋_GB2312" w:hAnsi="仿宋_GB2312" w:eastAsia="仿宋_GB2312" w:cs="仿宋_GB2312"/>
          <w:i w:val="0"/>
          <w:strike w:val="0"/>
          <w:color w:val="000000"/>
          <w:sz w:val="32"/>
          <w:highlight w:val="none"/>
          <w:u w:val="none"/>
        </w:rPr>
        <w:t>构建“党建引领、政策赋能、服务优化、效能提升”高质量社会组织发展体系，全面提升社会组织在服务区域建设、产业发展、社会治理、民生服务中的效能，打造区级社会组织发展样板。</w:t>
      </w:r>
    </w:p>
    <w:p w14:paraId="132ACD77">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06" w:name="_Toc5980"/>
      <w:bookmarkStart w:id="107" w:name="_Toc17628"/>
      <w:r>
        <w:rPr>
          <w:rFonts w:ascii="楷体_GB2312" w:hAnsi="楷体_GB2312" w:eastAsia="楷体_GB2312" w:cs="楷体_GB2312"/>
          <w:i w:val="0"/>
          <w:strike w:val="0"/>
          <w:color w:val="000000"/>
          <w:spacing w:val="0"/>
          <w:sz w:val="32"/>
          <w:highlight w:val="none"/>
          <w:u w:val="none"/>
        </w:rPr>
        <w:t>（一）</w:t>
      </w:r>
      <w:bookmarkEnd w:id="106"/>
      <w:r>
        <w:rPr>
          <w:rFonts w:hint="eastAsia" w:ascii="楷体_GB2312" w:hAnsi="楷体_GB2312" w:eastAsia="楷体_GB2312" w:cs="楷体_GB2312"/>
          <w:i w:val="0"/>
          <w:strike w:val="0"/>
          <w:color w:val="000000"/>
          <w:spacing w:val="0"/>
          <w:sz w:val="32"/>
          <w:highlight w:val="none"/>
          <w:u w:val="none"/>
        </w:rPr>
        <w:t>强化社会组织党建引领</w:t>
      </w:r>
      <w:bookmarkEnd w:id="107"/>
    </w:p>
    <w:p w14:paraId="440C841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加强党对社会组织的全面领导，推动党建工作与业务发展深度融合，确保社会组织始终沿着正确方向健康发展。</w:t>
      </w:r>
    </w:p>
    <w:p w14:paraId="0E67DC48">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color w:val="000000"/>
          <w:highlight w:val="none"/>
        </w:rPr>
      </w:pPr>
      <w:r>
        <w:rPr>
          <w:rFonts w:hint="default" w:ascii="仿宋_GB2312" w:hAnsi="仿宋_GB2312" w:eastAsia="仿宋_GB2312" w:cs="仿宋_GB2312"/>
          <w:b/>
          <w:bCs/>
          <w:i w:val="0"/>
          <w:strike w:val="0"/>
          <w:color w:val="000000"/>
          <w:sz w:val="32"/>
          <w:highlight w:val="none"/>
          <w:u w:val="none"/>
        </w:rPr>
        <w:t>推进组织与工作全覆盖。</w:t>
      </w:r>
      <w:r>
        <w:rPr>
          <w:rFonts w:hint="default" w:ascii="仿宋_GB2312" w:hAnsi="仿宋_GB2312" w:eastAsia="仿宋_GB2312" w:cs="仿宋_GB2312"/>
          <w:i w:val="0"/>
          <w:strike w:val="0"/>
          <w:color w:val="000000"/>
          <w:sz w:val="32"/>
          <w:highlight w:val="none"/>
          <w:u w:val="none"/>
        </w:rPr>
        <w:t>全面推进党的组织和工作在社会组织中的“有效覆盖”，落实“应建尽建”要求，消除党建空白点。深化党建与治理有机融合。推广党组织班子与社会组织管理层“双向进入、交叉任职”，推动党组织有效参与重大决策，实现党的路线方针政策与社会组织运作机制有机衔接。</w:t>
      </w:r>
      <w:r>
        <w:rPr>
          <w:rFonts w:hint="default" w:ascii="仿宋_GB2312" w:hAnsi="仿宋_GB2312" w:eastAsia="仿宋_GB2312" w:cs="仿宋_GB2312"/>
          <w:b/>
          <w:bCs/>
          <w:i w:val="0"/>
          <w:strike w:val="0"/>
          <w:color w:val="000000"/>
          <w:sz w:val="32"/>
          <w:highlight w:val="none"/>
          <w:u w:val="none"/>
          <w:lang w:val="en-US" w:eastAsia="zh-CN"/>
        </w:rPr>
        <w:t>建强党员队伍与激励机制。</w:t>
      </w:r>
      <w:r>
        <w:rPr>
          <w:rFonts w:hint="default" w:ascii="仿宋_GB2312" w:hAnsi="仿宋_GB2312" w:eastAsia="仿宋_GB2312" w:cs="仿宋_GB2312"/>
          <w:i w:val="0"/>
          <w:strike w:val="0"/>
          <w:color w:val="000000"/>
          <w:sz w:val="32"/>
          <w:highlight w:val="none"/>
          <w:u w:val="none"/>
        </w:rPr>
        <w:t>加强党员队伍建设，培育“红色先锋”骨干，强化教育管理与先锋模范作用发挥。将党建成效纳入社会组织评估、评优环节，健全激励约束机制。</w:t>
      </w:r>
    </w:p>
    <w:p w14:paraId="10D49B95">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08" w:name="_Toc29560"/>
      <w:bookmarkStart w:id="109" w:name="_Toc9670"/>
      <w:r>
        <w:rPr>
          <w:rFonts w:ascii="楷体_GB2312" w:hAnsi="楷体_GB2312" w:eastAsia="楷体_GB2312" w:cs="楷体_GB2312"/>
          <w:i w:val="0"/>
          <w:strike w:val="0"/>
          <w:color w:val="000000"/>
          <w:spacing w:val="0"/>
          <w:sz w:val="32"/>
          <w:highlight w:val="none"/>
          <w:u w:val="none"/>
        </w:rPr>
        <w:t>（二）</w:t>
      </w:r>
      <w:bookmarkEnd w:id="108"/>
      <w:r>
        <w:rPr>
          <w:rFonts w:hint="eastAsia" w:ascii="楷体_GB2312" w:hAnsi="楷体_GB2312" w:eastAsia="楷体_GB2312" w:cs="楷体_GB2312"/>
          <w:i w:val="0"/>
          <w:strike w:val="0"/>
          <w:color w:val="000000"/>
          <w:spacing w:val="0"/>
          <w:sz w:val="32"/>
          <w:highlight w:val="none"/>
          <w:u w:val="none"/>
        </w:rPr>
        <w:t>引导社会组织专业化发展</w:t>
      </w:r>
      <w:bookmarkEnd w:id="109"/>
    </w:p>
    <w:p w14:paraId="018AA70A">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引导社会组织加强自身建设，提升专业服务能力，在</w:t>
      </w:r>
      <w:r>
        <w:rPr>
          <w:rFonts w:ascii="仿宋_GB2312" w:hAnsi="仿宋_GB2312" w:eastAsia="仿宋_GB2312" w:cs="仿宋_GB2312"/>
          <w:i w:val="0"/>
          <w:strike w:val="0"/>
          <w:color w:val="000000"/>
          <w:sz w:val="32"/>
          <w:highlight w:val="none"/>
          <w:u w:val="none"/>
        </w:rPr>
        <w:t>创新链、产业链、资金链、人才链</w:t>
      </w:r>
      <w:r>
        <w:rPr>
          <w:rFonts w:hint="default" w:ascii="仿宋_GB2312" w:hAnsi="仿宋_GB2312" w:eastAsia="仿宋_GB2312" w:cs="仿宋_GB2312"/>
          <w:i w:val="0"/>
          <w:strike w:val="0"/>
          <w:color w:val="000000"/>
          <w:sz w:val="32"/>
          <w:highlight w:val="none"/>
          <w:u w:val="none"/>
        </w:rPr>
        <w:t>“四链融合”中发挥桥梁纽带作用。</w:t>
      </w:r>
    </w:p>
    <w:p w14:paraId="00A39C9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提升专业能力与服务效能。</w:t>
      </w:r>
      <w:r>
        <w:rPr>
          <w:rFonts w:hint="default" w:ascii="仿宋_GB2312" w:hAnsi="仿宋_GB2312" w:eastAsia="仿宋_GB2312" w:cs="仿宋_GB2312"/>
          <w:i w:val="0"/>
          <w:strike w:val="0"/>
          <w:color w:val="000000"/>
          <w:sz w:val="32"/>
          <w:highlight w:val="none"/>
          <w:u w:val="none"/>
          <w:lang w:val="en-US" w:eastAsia="zh-CN"/>
        </w:rPr>
        <w:t>坚持以能力建设为核心，持续提升社会组织综合服务能力，充分发挥其贴近基层、服务群众的优势,引导社会组织承接政府转移职能，提升公益服务和专业服务能力。</w:t>
      </w:r>
      <w:r>
        <w:rPr>
          <w:rFonts w:hint="default" w:ascii="仿宋_GB2312" w:hAnsi="仿宋_GB2312" w:eastAsia="仿宋_GB2312" w:cs="仿宋_GB2312"/>
          <w:b/>
          <w:bCs/>
          <w:i w:val="0"/>
          <w:strike w:val="0"/>
          <w:color w:val="000000"/>
          <w:sz w:val="32"/>
          <w:highlight w:val="none"/>
          <w:u w:val="none"/>
        </w:rPr>
        <w:t>实施人才赋能计划。</w:t>
      </w:r>
      <w:r>
        <w:rPr>
          <w:rFonts w:hint="default" w:ascii="仿宋_GB2312" w:hAnsi="仿宋_GB2312" w:eastAsia="仿宋_GB2312" w:cs="仿宋_GB2312"/>
          <w:i w:val="0"/>
          <w:strike w:val="0"/>
          <w:color w:val="000000"/>
          <w:sz w:val="32"/>
          <w:highlight w:val="none"/>
          <w:u w:val="none"/>
        </w:rPr>
        <w:t>构建“引育用留”全周期人才体系，动态优化区级人才库，联合高校和专业机构开展实务培训，年培训骨干不少于500人次。强化质量监测与等级评估。细化内部治理、财务透明、信息公开等指标体系，深化对3A级以上组织的服务支持，以评促建提升规范化水平。</w:t>
      </w:r>
      <w:r>
        <w:rPr>
          <w:rFonts w:hint="default" w:ascii="仿宋_GB2312" w:hAnsi="仿宋_GB2312" w:eastAsia="仿宋_GB2312" w:cs="仿宋_GB2312"/>
          <w:b/>
          <w:bCs/>
          <w:i w:val="0"/>
          <w:strike w:val="0"/>
          <w:color w:val="000000"/>
          <w:sz w:val="32"/>
          <w:highlight w:val="none"/>
          <w:u w:val="none"/>
        </w:rPr>
        <w:t>高标准建设孵化培育平台。</w:t>
      </w:r>
      <w:r>
        <w:rPr>
          <w:rFonts w:hint="default" w:ascii="仿宋_GB2312" w:hAnsi="仿宋_GB2312" w:eastAsia="仿宋_GB2312" w:cs="仿宋_GB2312"/>
          <w:i w:val="0"/>
          <w:strike w:val="0"/>
          <w:color w:val="000000"/>
          <w:sz w:val="32"/>
          <w:highlight w:val="none"/>
          <w:u w:val="none"/>
        </w:rPr>
        <w:t>围绕宝安</w:t>
      </w:r>
      <w:r>
        <w:rPr>
          <w:rFonts w:hint="eastAsia" w:ascii="仿宋_GB2312" w:hAnsi="仿宋_GB2312" w:eastAsia="仿宋_GB2312" w:cs="仿宋_GB2312"/>
          <w:i w:val="0"/>
          <w:strike w:val="0"/>
          <w:color w:val="000000"/>
          <w:sz w:val="32"/>
          <w:highlight w:val="none"/>
          <w:u w:val="none"/>
          <w:lang w:val="en-US" w:eastAsia="zh-CN"/>
        </w:rPr>
        <w:t>区</w:t>
      </w:r>
      <w:r>
        <w:rPr>
          <w:rFonts w:hint="default" w:ascii="仿宋_GB2312" w:hAnsi="仿宋_GB2312" w:eastAsia="仿宋_GB2312" w:cs="仿宋_GB2312"/>
          <w:i w:val="0"/>
          <w:strike w:val="0"/>
          <w:color w:val="000000"/>
          <w:sz w:val="32"/>
          <w:highlight w:val="none"/>
          <w:u w:val="none"/>
        </w:rPr>
        <w:t>战略布局和新兴产业，高标准建设区级社会组织孵化基地，提供能力建设、资源对接和项目孵化等一站式服务，重点培育具有引领作用的社会组织。</w:t>
      </w:r>
    </w:p>
    <w:p w14:paraId="6B005387">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rFonts w:ascii="楷体_GB2312" w:hAnsi="楷体_GB2312" w:eastAsia="楷体_GB2312" w:cs="楷体_GB2312"/>
          <w:color w:val="000000"/>
          <w:highlight w:val="none"/>
          <w:u w:val="none"/>
        </w:rPr>
      </w:pPr>
      <w:bookmarkStart w:id="110" w:name="_Toc925"/>
      <w:bookmarkStart w:id="111" w:name="_Toc20436"/>
      <w:r>
        <w:rPr>
          <w:rFonts w:ascii="楷体_GB2312" w:hAnsi="楷体_GB2312" w:eastAsia="楷体_GB2312" w:cs="楷体_GB2312"/>
          <w:i w:val="0"/>
          <w:strike w:val="0"/>
          <w:color w:val="000000"/>
          <w:spacing w:val="0"/>
          <w:sz w:val="32"/>
          <w:highlight w:val="none"/>
          <w:u w:val="none"/>
        </w:rPr>
        <w:t>（三）</w:t>
      </w:r>
      <w:bookmarkEnd w:id="110"/>
      <w:r>
        <w:rPr>
          <w:rFonts w:hint="eastAsia" w:ascii="楷体_GB2312" w:hAnsi="楷体_GB2312" w:eastAsia="楷体_GB2312" w:cs="楷体_GB2312"/>
          <w:i w:val="0"/>
          <w:strike w:val="0"/>
          <w:color w:val="000000"/>
          <w:spacing w:val="0"/>
          <w:sz w:val="32"/>
          <w:highlight w:val="none"/>
          <w:u w:val="none"/>
        </w:rPr>
        <w:t>加强社会组织监管服务</w:t>
      </w:r>
      <w:bookmarkEnd w:id="111"/>
    </w:p>
    <w:p w14:paraId="0C2AB8D7">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构建依法监管与法人自治相结合的综合治理体系，提升登记服务效能，防范化解重点领域风险。</w:t>
      </w:r>
    </w:p>
    <w:p w14:paraId="3000F8D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优化登记服务流程。</w:t>
      </w:r>
      <w:r>
        <w:rPr>
          <w:rFonts w:hint="default" w:ascii="仿宋_GB2312" w:hAnsi="仿宋_GB2312" w:eastAsia="仿宋_GB2312" w:cs="仿宋_GB2312"/>
          <w:i w:val="0"/>
          <w:strike w:val="0"/>
          <w:color w:val="000000"/>
          <w:sz w:val="32"/>
          <w:highlight w:val="none"/>
          <w:u w:val="none"/>
        </w:rPr>
        <w:t>优化“线上预审+线下核验”和“一窗受理”模式，压缩审批时限，动态优化服务流程。加强登记管理队伍专业化建设，开展常态化政策法规和业务技能培训，打造“规范高效、热情专业”的服务团队。</w:t>
      </w:r>
      <w:r>
        <w:rPr>
          <w:rFonts w:hint="default" w:ascii="仿宋_GB2312" w:hAnsi="仿宋_GB2312" w:eastAsia="仿宋_GB2312" w:cs="仿宋_GB2312"/>
          <w:b/>
          <w:bCs/>
          <w:i w:val="0"/>
          <w:strike w:val="0"/>
          <w:color w:val="000000"/>
          <w:sz w:val="32"/>
          <w:highlight w:val="none"/>
          <w:u w:val="none"/>
          <w:lang w:val="en-US" w:eastAsia="zh-CN"/>
        </w:rPr>
        <w:t>完善信用监管体系。</w:t>
      </w:r>
      <w:r>
        <w:rPr>
          <w:rFonts w:hint="default" w:ascii="仿宋_GB2312" w:hAnsi="仿宋_GB2312" w:eastAsia="仿宋_GB2312" w:cs="仿宋_GB2312"/>
          <w:i w:val="0"/>
          <w:strike w:val="0"/>
          <w:color w:val="000000"/>
          <w:sz w:val="32"/>
          <w:highlight w:val="none"/>
          <w:u w:val="none"/>
        </w:rPr>
        <w:t>依托省、市平台加强异常名录、年报公示和行政处罚等常态化管理，推动制定权责清晰、运转有效的法人治理指引，健全等级评估和结果运用机制。</w:t>
      </w:r>
      <w:r>
        <w:rPr>
          <w:rFonts w:hint="default" w:ascii="仿宋_GB2312" w:hAnsi="仿宋_GB2312" w:eastAsia="仿宋_GB2312" w:cs="仿宋_GB2312"/>
          <w:b/>
          <w:bCs/>
          <w:i w:val="0"/>
          <w:strike w:val="0"/>
          <w:color w:val="000000"/>
          <w:sz w:val="32"/>
          <w:highlight w:val="none"/>
          <w:u w:val="none"/>
          <w:lang w:val="en-US" w:eastAsia="zh-CN"/>
        </w:rPr>
        <w:t>强化内部治理与风险防控。</w:t>
      </w:r>
      <w:r>
        <w:rPr>
          <w:rFonts w:hint="default" w:ascii="仿宋_GB2312" w:hAnsi="仿宋_GB2312" w:eastAsia="仿宋_GB2312" w:cs="仿宋_GB2312"/>
          <w:i w:val="0"/>
          <w:strike w:val="0"/>
          <w:color w:val="000000"/>
          <w:sz w:val="32"/>
          <w:highlight w:val="none"/>
          <w:u w:val="none"/>
        </w:rPr>
        <w:t>推动以章程为核心的治理结构建设，规范议事程序，严格负责人审核与全链条管理</w:t>
      </w:r>
      <w:r>
        <w:rPr>
          <w:rFonts w:hint="eastAsia" w:ascii="仿宋_GB2312" w:hAnsi="仿宋_GB2312" w:eastAsia="仿宋_GB2312" w:cs="仿宋_GB2312"/>
          <w:i w:val="0"/>
          <w:strike w:val="0"/>
          <w:color w:val="000000"/>
          <w:sz w:val="32"/>
          <w:highlight w:val="none"/>
          <w:u w:val="none"/>
          <w:lang w:eastAsia="zh-CN"/>
        </w:rPr>
        <w:t>，</w:t>
      </w:r>
      <w:r>
        <w:rPr>
          <w:rFonts w:hint="default" w:ascii="仿宋_GB2312" w:hAnsi="仿宋_GB2312" w:eastAsia="仿宋_GB2312" w:cs="仿宋_GB2312"/>
          <w:i w:val="0"/>
          <w:strike w:val="0"/>
          <w:color w:val="000000"/>
          <w:sz w:val="32"/>
          <w:highlight w:val="none"/>
          <w:u w:val="none"/>
        </w:rPr>
        <w:t>聚焦政治方向、内部治理及财务等重点领域风险开展专项整治</w:t>
      </w:r>
      <w:r>
        <w:rPr>
          <w:rFonts w:hint="eastAsia" w:ascii="仿宋_GB2312" w:hAnsi="仿宋_GB2312" w:eastAsia="仿宋_GB2312" w:cs="仿宋_GB2312"/>
          <w:i w:val="0"/>
          <w:strike w:val="0"/>
          <w:color w:val="000000"/>
          <w:sz w:val="32"/>
          <w:highlight w:val="none"/>
          <w:u w:val="none"/>
          <w:lang w:eastAsia="zh-CN"/>
        </w:rPr>
        <w:t>。</w:t>
      </w:r>
      <w:r>
        <w:rPr>
          <w:rFonts w:hint="default" w:ascii="仿宋_GB2312" w:hAnsi="仿宋_GB2312" w:eastAsia="仿宋_GB2312" w:cs="仿宋_GB2312"/>
          <w:i w:val="0"/>
          <w:strike w:val="0"/>
          <w:color w:val="000000"/>
          <w:sz w:val="32"/>
          <w:highlight w:val="none"/>
          <w:u w:val="none"/>
        </w:rPr>
        <w:t>加强财务公开与监事职能，构建规范透明的内部运行机制。</w:t>
      </w:r>
    </w:p>
    <w:p w14:paraId="2083E219">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12" w:name="_Toc6324"/>
      <w:bookmarkStart w:id="113" w:name="_Toc8556"/>
      <w:r>
        <w:rPr>
          <w:rFonts w:ascii="楷体_GB2312" w:hAnsi="楷体_GB2312" w:eastAsia="楷体_GB2312" w:cs="楷体_GB2312"/>
          <w:i w:val="0"/>
          <w:strike w:val="0"/>
          <w:color w:val="000000"/>
          <w:spacing w:val="0"/>
          <w:sz w:val="32"/>
          <w:highlight w:val="none"/>
          <w:u w:val="none"/>
        </w:rPr>
        <w:t>（四）支持社会组织助力经济发展</w:t>
      </w:r>
      <w:bookmarkEnd w:id="112"/>
      <w:bookmarkEnd w:id="113"/>
    </w:p>
    <w:p w14:paraId="73AFF963">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紧抓宝安</w:t>
      </w:r>
      <w:r>
        <w:rPr>
          <w:rFonts w:hint="eastAsia" w:ascii="仿宋_GB2312" w:hAnsi="仿宋_GB2312" w:eastAsia="仿宋_GB2312" w:cs="仿宋_GB2312"/>
          <w:i w:val="0"/>
          <w:strike w:val="0"/>
          <w:color w:val="000000"/>
          <w:sz w:val="32"/>
          <w:highlight w:val="none"/>
          <w:u w:val="none"/>
          <w:lang w:val="en-US" w:eastAsia="zh-CN"/>
        </w:rPr>
        <w:t>区</w:t>
      </w:r>
      <w:r>
        <w:rPr>
          <w:rFonts w:hint="default" w:ascii="仿宋_GB2312" w:hAnsi="仿宋_GB2312" w:eastAsia="仿宋_GB2312" w:cs="仿宋_GB2312"/>
          <w:i w:val="0"/>
          <w:strike w:val="0"/>
          <w:color w:val="000000"/>
          <w:sz w:val="32"/>
          <w:highlight w:val="none"/>
          <w:u w:val="none"/>
        </w:rPr>
        <w:t>建设战略与前海合作区扩区赋能的重大机遇，引导社会组织借势发力，在更广领域、更深层次参与经济建设，增强其对粤港澳大湾区发展的辐射带动作用。</w:t>
      </w:r>
    </w:p>
    <w:p w14:paraId="7B71AA49">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打造集聚区与服务平台。</w:t>
      </w:r>
      <w:r>
        <w:rPr>
          <w:rFonts w:hint="default" w:ascii="仿宋_GB2312" w:hAnsi="仿宋_GB2312" w:eastAsia="仿宋_GB2312" w:cs="仿宋_GB2312"/>
          <w:i w:val="0"/>
          <w:strike w:val="0"/>
          <w:color w:val="000000"/>
          <w:sz w:val="32"/>
          <w:highlight w:val="none"/>
          <w:u w:val="none"/>
        </w:rPr>
        <w:t>打造“前海-宝安社会组织集聚区”，引导国际化、专业化社会组织落户前海宝安片区。聚焦宝安产业集群和战略性新兴产业，提供登记注册、场地支持、政策咨询等“一站式”服务。</w:t>
      </w:r>
      <w:r>
        <w:rPr>
          <w:rFonts w:hint="default" w:ascii="仿宋_GB2312" w:hAnsi="仿宋_GB2312" w:eastAsia="仿宋_GB2312" w:cs="仿宋_GB2312"/>
          <w:b/>
          <w:bCs/>
          <w:i w:val="0"/>
          <w:strike w:val="0"/>
          <w:color w:val="000000"/>
          <w:sz w:val="32"/>
          <w:highlight w:val="none"/>
          <w:u w:val="none"/>
          <w:lang w:val="en-US" w:eastAsia="zh-CN"/>
        </w:rPr>
        <w:t>精准培育重点行业组织。</w:t>
      </w:r>
      <w:r>
        <w:rPr>
          <w:rFonts w:hint="default" w:ascii="仿宋_GB2312" w:hAnsi="仿宋_GB2312" w:eastAsia="仿宋_GB2312" w:cs="仿宋_GB2312"/>
          <w:i w:val="0"/>
          <w:strike w:val="0"/>
          <w:color w:val="000000"/>
          <w:sz w:val="32"/>
          <w:highlight w:val="none"/>
          <w:u w:val="none"/>
        </w:rPr>
        <w:t>围绕“银发经济”“甜蜜经济”等新业态发展需求，精准培育和发展重点行业社会组织，搭建多元对接平台，推动行业协会协同发展，引导其深度参与产业链创新链资源整合。</w:t>
      </w:r>
      <w:r>
        <w:rPr>
          <w:rFonts w:hint="default" w:ascii="仿宋_GB2312" w:hAnsi="仿宋_GB2312" w:eastAsia="仿宋_GB2312" w:cs="仿宋_GB2312"/>
          <w:b/>
          <w:bCs/>
          <w:i w:val="0"/>
          <w:strike w:val="0"/>
          <w:color w:val="000000"/>
          <w:sz w:val="32"/>
          <w:highlight w:val="none"/>
          <w:u w:val="none"/>
          <w:lang w:val="en-US" w:eastAsia="zh-CN"/>
        </w:rPr>
        <w:t>推动产学研用协同创新。</w:t>
      </w:r>
      <w:r>
        <w:rPr>
          <w:rFonts w:hint="default" w:ascii="仿宋_GB2312" w:hAnsi="仿宋_GB2312" w:eastAsia="仿宋_GB2312" w:cs="仿宋_GB2312"/>
          <w:i w:val="0"/>
          <w:strike w:val="0"/>
          <w:color w:val="000000"/>
          <w:sz w:val="32"/>
          <w:highlight w:val="none"/>
          <w:u w:val="none"/>
        </w:rPr>
        <w:t>鼓励社会组织发挥平台纽带作用，链接技术、人才、资本等要素，推动产学研用协同攻关与技术成果转化，为新业态培育和新动能壮大提供专业支撑。</w:t>
      </w:r>
      <w:r>
        <w:rPr>
          <w:rFonts w:hint="default" w:ascii="仿宋_GB2312" w:hAnsi="仿宋_GB2312" w:eastAsia="仿宋_GB2312" w:cs="仿宋_GB2312"/>
          <w:b/>
          <w:bCs/>
          <w:i w:val="0"/>
          <w:strike w:val="0"/>
          <w:color w:val="000000"/>
          <w:sz w:val="32"/>
          <w:highlight w:val="none"/>
          <w:u w:val="none"/>
          <w:lang w:val="en-US" w:eastAsia="zh-CN"/>
        </w:rPr>
        <w:t>服务产业转型升级与就业扩容。</w:t>
      </w:r>
      <w:r>
        <w:rPr>
          <w:rFonts w:hint="default" w:ascii="仿宋_GB2312" w:hAnsi="仿宋_GB2312" w:eastAsia="仿宋_GB2312" w:cs="仿宋_GB2312"/>
          <w:i w:val="0"/>
          <w:strike w:val="0"/>
          <w:color w:val="000000"/>
          <w:sz w:val="32"/>
          <w:highlight w:val="none"/>
          <w:u w:val="none"/>
        </w:rPr>
        <w:t>支持社会组织在高水平经济建设中助力产业向高端化、智能化、绿色化转型，进一步增强在促进就业扩容、参与协同治理等方面的综合能力，以组织效能提升赋能经济结构优化。</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AE6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64EB2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6</w:t>
            </w:r>
            <w:r>
              <w:rPr>
                <w:rFonts w:eastAsia="仿宋_GB2312" w:cs="Times New Roman"/>
                <w:b/>
                <w:bCs/>
                <w:kern w:val="0"/>
                <w:sz w:val="28"/>
                <w:szCs w:val="28"/>
              </w:rPr>
              <w:t xml:space="preserve">  社会组织培育与规范发展工程</w:t>
            </w:r>
          </w:p>
        </w:tc>
      </w:tr>
      <w:tr w14:paraId="74DA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8948" w:type="dxa"/>
            <w:noWrap w:val="0"/>
            <w:vAlign w:val="top"/>
          </w:tcPr>
          <w:p w14:paraId="00605FD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lang w:eastAsia="zh-CN"/>
              </w:rPr>
              <w:t>区社会组织孵化基地建设工程。</w:t>
            </w:r>
            <w:r>
              <w:rPr>
                <w:rFonts w:hint="eastAsia" w:eastAsia="仿宋_GB2312" w:cs="Times New Roman"/>
                <w:kern w:val="0"/>
                <w:sz w:val="28"/>
                <w:szCs w:val="28"/>
                <w:lang w:eastAsia="zh-CN"/>
              </w:rPr>
              <w:t>高标准建设区级社会组织培育孵化基地，基地集成社会创新、孵化培育、资源链接、公益传播等核心功能，设置开放式工位区、共享卡座、多功能会议室及党建书吧、茶水间等配套空间。面向初创期社会组织提供办公支持、能力建设、交流展示等一站式服务，打造引导社会组织参与基层治理、促进高质量发展的重要载体。到2030年，力争全区3A以上社会组织数量</w:t>
            </w:r>
            <w:r>
              <w:rPr>
                <w:rFonts w:hint="eastAsia" w:eastAsia="仿宋_GB2312" w:cs="Times New Roman"/>
                <w:kern w:val="0"/>
                <w:sz w:val="28"/>
                <w:szCs w:val="28"/>
                <w:lang w:val="en-US" w:eastAsia="zh-CN"/>
              </w:rPr>
              <w:t>取得新突破</w:t>
            </w:r>
            <w:r>
              <w:rPr>
                <w:rFonts w:hint="eastAsia" w:eastAsia="仿宋_GB2312" w:cs="Times New Roman"/>
                <w:kern w:val="0"/>
                <w:sz w:val="28"/>
                <w:szCs w:val="28"/>
                <w:lang w:eastAsia="zh-CN"/>
              </w:rPr>
              <w:t>。</w:t>
            </w:r>
          </w:p>
          <w:p w14:paraId="33F4B57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社会组织党建赋能提质工程。</w:t>
            </w:r>
            <w:r>
              <w:rPr>
                <w:rFonts w:hint="eastAsia" w:eastAsia="仿宋_GB2312" w:cs="Times New Roman"/>
                <w:kern w:val="0"/>
                <w:sz w:val="28"/>
                <w:szCs w:val="28"/>
              </w:rPr>
              <w:t>深入实施党建赋能计划，创建10个“红色社会组织”示范点，推广党组织班子与管理层“双向进入、交叉任职”机制，推动党组织有效参与机构重大决策。打造“薪火党建工作室”等特色品牌，建立“轮值主持人+导师帮带+项目孵化”工作机制，培育一批具有宝安辨识度的社会组织党建标杆。</w:t>
            </w:r>
          </w:p>
          <w:p w14:paraId="56864E1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社会组织标准创制工程。</w:t>
            </w:r>
            <w:r>
              <w:rPr>
                <w:rFonts w:hint="eastAsia" w:eastAsia="仿宋_GB2312" w:cs="Times New Roman"/>
                <w:kern w:val="0"/>
                <w:sz w:val="28"/>
                <w:szCs w:val="28"/>
              </w:rPr>
              <w:t>积极参与市级民政标准的试点示范与推广应用，结合宝安区域特点和发展需求，研究制定具有宝安特色、操作性强的区级社会组织服务管理规范和质量标准。围绕社会组织登记服务、信用监管、等级评估等关键环节，形成一批可复制推广的标准化制度成果，为全市社会组织规范发展提供宝安经验。</w:t>
            </w:r>
          </w:p>
        </w:tc>
      </w:tr>
    </w:tbl>
    <w:p w14:paraId="7C3DC311">
      <w:pPr>
        <w:pStyle w:val="6"/>
        <w:keepNext/>
        <w:keepLines/>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s="黑体"/>
          <w:i w:val="0"/>
          <w:strike w:val="0"/>
          <w:color w:val="000000"/>
          <w:spacing w:val="0"/>
          <w:sz w:val="32"/>
          <w:highlight w:val="none"/>
          <w:u w:val="none"/>
        </w:rPr>
      </w:pPr>
      <w:bookmarkStart w:id="114" w:name="_Toc8358"/>
      <w:bookmarkStart w:id="115" w:name="_Toc27188"/>
      <w:r>
        <w:rPr>
          <w:rFonts w:hint="eastAsia" w:ascii="黑体" w:hAnsi="黑体" w:eastAsia="黑体" w:cs="黑体"/>
          <w:i w:val="0"/>
          <w:strike w:val="0"/>
          <w:color w:val="000000"/>
          <w:spacing w:val="0"/>
          <w:sz w:val="32"/>
          <w:highlight w:val="none"/>
          <w:u w:val="none"/>
          <w:lang w:val="en-US" w:eastAsia="zh-CN"/>
        </w:rPr>
        <w:t>六、培育活力温暖现代慈善生态</w:t>
      </w:r>
      <w:r>
        <w:rPr>
          <w:rFonts w:ascii="黑体" w:hAnsi="黑体" w:eastAsia="黑体" w:cs="黑体"/>
          <w:i w:val="0"/>
          <w:strike w:val="0"/>
          <w:color w:val="000000"/>
          <w:spacing w:val="0"/>
          <w:sz w:val="32"/>
          <w:highlight w:val="none"/>
          <w:u w:val="none"/>
        </w:rPr>
        <w:t>​</w:t>
      </w:r>
      <w:bookmarkEnd w:id="114"/>
      <w:bookmarkEnd w:id="115"/>
    </w:p>
    <w:p w14:paraId="2C968656">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ascii="仿宋_GB2312" w:hAnsi="仿宋_GB2312" w:eastAsia="仿宋_GB2312" w:cs="仿宋_GB2312"/>
          <w:i w:val="0"/>
          <w:strike w:val="0"/>
          <w:color w:val="000000"/>
          <w:sz w:val="32"/>
          <w:highlight w:val="none"/>
          <w:u w:val="none"/>
        </w:rPr>
        <w:t>坚持依法兴善、规范运作，加强监管与培育发展并举，加快构建作用显著、管理规范、健康有序、具有宝安特色的现代公益慈善体系，系统推进法治慈善、阳光慈善、活力慈善、智慧慈善协同发展。</w:t>
      </w:r>
    </w:p>
    <w:p w14:paraId="1CCA7CDA">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16" w:name="_Toc17008"/>
      <w:bookmarkStart w:id="117" w:name="_Toc31246"/>
      <w:r>
        <w:rPr>
          <w:rFonts w:ascii="楷体_GB2312" w:hAnsi="楷体_GB2312" w:eastAsia="楷体_GB2312" w:cs="楷体_GB2312"/>
          <w:i w:val="0"/>
          <w:strike w:val="0"/>
          <w:color w:val="000000"/>
          <w:spacing w:val="0"/>
          <w:sz w:val="32"/>
          <w:highlight w:val="none"/>
          <w:u w:val="none"/>
        </w:rPr>
        <w:t>（一）</w:t>
      </w:r>
      <w:r>
        <w:rPr>
          <w:rFonts w:hint="eastAsia" w:ascii="楷体_GB2312" w:hAnsi="楷体_GB2312" w:eastAsia="楷体_GB2312" w:cs="楷体_GB2312"/>
          <w:i w:val="0"/>
          <w:strike w:val="0"/>
          <w:color w:val="000000"/>
          <w:spacing w:val="0"/>
          <w:sz w:val="32"/>
          <w:highlight w:val="none"/>
          <w:u w:val="none"/>
        </w:rPr>
        <w:t>完善法治慈善制度基础</w:t>
      </w:r>
      <w:bookmarkEnd w:id="116"/>
      <w:bookmarkEnd w:id="117"/>
    </w:p>
    <w:p w14:paraId="02D91EB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全面贯彻《中华人民共和国慈善法》及《深圳经济特区慈善事业促进条例》，推动形成依法行善、依法监管、社会信任的慈善法治环境。</w:t>
      </w:r>
    </w:p>
    <w:p w14:paraId="7A9A3701">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健全政策法规实施与监督机制。</w:t>
      </w:r>
      <w:r>
        <w:rPr>
          <w:rFonts w:hint="default" w:ascii="仿宋_GB2312" w:hAnsi="仿宋_GB2312" w:eastAsia="仿宋_GB2312" w:cs="仿宋_GB2312"/>
          <w:i w:val="0"/>
          <w:strike w:val="0"/>
          <w:color w:val="000000"/>
          <w:sz w:val="32"/>
          <w:highlight w:val="none"/>
          <w:u w:val="none"/>
        </w:rPr>
        <w:t>推动慈善组织依法登记、规范运作，健全跨部门联合执法与信息共享机制，依法查处违规募捐和虚假慈善行为，强化多方协同监管。</w:t>
      </w:r>
      <w:r>
        <w:rPr>
          <w:rFonts w:hint="default" w:ascii="仿宋_GB2312" w:hAnsi="仿宋_GB2312" w:eastAsia="仿宋_GB2312" w:cs="仿宋_GB2312"/>
          <w:b/>
          <w:bCs/>
          <w:i w:val="0"/>
          <w:strike w:val="0"/>
          <w:color w:val="000000"/>
          <w:sz w:val="32"/>
          <w:highlight w:val="none"/>
          <w:u w:val="none"/>
        </w:rPr>
        <w:t>加强慈善组织合规能力建设。</w:t>
      </w:r>
      <w:r>
        <w:rPr>
          <w:rFonts w:hint="default" w:ascii="仿宋_GB2312" w:hAnsi="仿宋_GB2312" w:eastAsia="仿宋_GB2312" w:cs="仿宋_GB2312"/>
          <w:i w:val="0"/>
          <w:strike w:val="0"/>
          <w:color w:val="000000"/>
          <w:sz w:val="32"/>
          <w:highlight w:val="none"/>
          <w:u w:val="none"/>
        </w:rPr>
        <w:t>开展慈善法治宣传与专业培训，提升行业整体法治素养。引导慈善组织完善内部治理结构，强化法人治理和内控机制，规范项目立项、资金使用与信息披露流程。发挥行业组织枢纽与自律功能</w:t>
      </w:r>
      <w:r>
        <w:rPr>
          <w:rFonts w:hint="eastAsia" w:ascii="仿宋_GB2312" w:hAnsi="仿宋_GB2312" w:eastAsia="仿宋_GB2312" w:cs="仿宋_GB2312"/>
          <w:i w:val="0"/>
          <w:strike w:val="0"/>
          <w:color w:val="000000"/>
          <w:sz w:val="32"/>
          <w:highlight w:val="none"/>
          <w:u w:val="none"/>
          <w:lang w:eastAsia="zh-CN"/>
        </w:rPr>
        <w:t>，</w:t>
      </w:r>
      <w:r>
        <w:rPr>
          <w:rFonts w:hint="default" w:ascii="仿宋_GB2312" w:hAnsi="仿宋_GB2312" w:eastAsia="仿宋_GB2312" w:cs="仿宋_GB2312"/>
          <w:i w:val="0"/>
          <w:strike w:val="0"/>
          <w:color w:val="000000"/>
          <w:sz w:val="32"/>
          <w:highlight w:val="none"/>
          <w:u w:val="none"/>
        </w:rPr>
        <w:t>支持区慈善行业组织履行行业服务、协调和自律职责，推动形成规范有序、公开透明的慈善法治环境。</w:t>
      </w:r>
    </w:p>
    <w:p w14:paraId="66E1742B">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18" w:name="_Toc5749"/>
      <w:bookmarkStart w:id="119" w:name="_Toc3923"/>
      <w:r>
        <w:rPr>
          <w:rFonts w:ascii="楷体_GB2312" w:hAnsi="楷体_GB2312" w:eastAsia="楷体_GB2312" w:cs="楷体_GB2312"/>
          <w:i w:val="0"/>
          <w:strike w:val="0"/>
          <w:color w:val="000000"/>
          <w:spacing w:val="0"/>
          <w:sz w:val="32"/>
          <w:highlight w:val="none"/>
          <w:u w:val="none"/>
        </w:rPr>
        <w:t>（二）</w:t>
      </w:r>
      <w:bookmarkEnd w:id="118"/>
      <w:r>
        <w:rPr>
          <w:rFonts w:hint="eastAsia" w:ascii="楷体_GB2312" w:hAnsi="楷体_GB2312" w:eastAsia="楷体_GB2312" w:cs="楷体_GB2312"/>
          <w:i w:val="0"/>
          <w:strike w:val="0"/>
          <w:color w:val="000000"/>
          <w:spacing w:val="0"/>
          <w:sz w:val="32"/>
          <w:highlight w:val="none"/>
          <w:u w:val="none"/>
        </w:rPr>
        <w:t>强化阳光慈善公信力</w:t>
      </w:r>
      <w:bookmarkEnd w:id="119"/>
    </w:p>
    <w:p w14:paraId="31A7E2F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构建全面、及时、透明的慈善信息公开机制，持续打造公开、可</w:t>
      </w:r>
      <w:r>
        <w:rPr>
          <w:rFonts w:hint="eastAsia" w:ascii="仿宋_GB2312" w:hAnsi="仿宋_GB2312" w:eastAsia="仿宋_GB2312" w:cs="仿宋_GB2312"/>
          <w:i w:val="0"/>
          <w:strike w:val="0"/>
          <w:color w:val="000000"/>
          <w:sz w:val="32"/>
          <w:highlight w:val="none"/>
          <w:u w:val="none"/>
          <w:lang w:val="en-US" w:eastAsia="zh-CN"/>
        </w:rPr>
        <w:t>信赖</w:t>
      </w:r>
      <w:r>
        <w:rPr>
          <w:rFonts w:hint="default" w:ascii="仿宋_GB2312" w:hAnsi="仿宋_GB2312" w:eastAsia="仿宋_GB2312" w:cs="仿宋_GB2312"/>
          <w:i w:val="0"/>
          <w:strike w:val="0"/>
          <w:color w:val="000000"/>
          <w:sz w:val="32"/>
          <w:highlight w:val="none"/>
          <w:u w:val="none"/>
        </w:rPr>
        <w:t>的“阳光慈善”品牌。</w:t>
      </w:r>
    </w:p>
    <w:p w14:paraId="46489AE7">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推进慈善信息全面公开。</w:t>
      </w:r>
      <w:r>
        <w:rPr>
          <w:rFonts w:hint="default" w:ascii="仿宋_GB2312" w:hAnsi="仿宋_GB2312" w:eastAsia="仿宋_GB2312" w:cs="仿宋_GB2312"/>
          <w:i w:val="0"/>
          <w:strike w:val="0"/>
          <w:color w:val="000000"/>
          <w:sz w:val="32"/>
          <w:highlight w:val="none"/>
          <w:u w:val="none"/>
        </w:rPr>
        <w:t>推动慈善组织通过统一平台公开募捐方案、资金使用、项目执行及财务状况，依托“慈善中国”等平台提升信息透明度，自觉接受社会监督。</w:t>
      </w:r>
      <w:r>
        <w:rPr>
          <w:rFonts w:hint="default" w:ascii="仿宋_GB2312" w:hAnsi="仿宋_GB2312" w:eastAsia="仿宋_GB2312" w:cs="仿宋_GB2312"/>
          <w:b/>
          <w:bCs/>
          <w:i w:val="0"/>
          <w:strike w:val="0"/>
          <w:color w:val="000000"/>
          <w:sz w:val="32"/>
          <w:highlight w:val="none"/>
          <w:u w:val="none"/>
          <w:lang w:val="en-US" w:eastAsia="zh-CN"/>
        </w:rPr>
        <w:t>强化全流程审计与第三方评估。</w:t>
      </w:r>
      <w:r>
        <w:rPr>
          <w:rFonts w:hint="default" w:ascii="仿宋_GB2312" w:hAnsi="仿宋_GB2312" w:eastAsia="仿宋_GB2312" w:cs="仿宋_GB2312"/>
          <w:i w:val="0"/>
          <w:strike w:val="0"/>
          <w:color w:val="000000"/>
          <w:sz w:val="32"/>
          <w:highlight w:val="none"/>
          <w:u w:val="none"/>
        </w:rPr>
        <w:t>推行慈善资金全流程审计，加强对重大项目和风险领域的监管。鼓励第三方机构参与评估评级，推进行业自律与规范化发展。</w:t>
      </w:r>
      <w:r>
        <w:rPr>
          <w:rFonts w:hint="default" w:ascii="仿宋_GB2312" w:hAnsi="仿宋_GB2312" w:eastAsia="仿宋_GB2312" w:cs="仿宋_GB2312"/>
          <w:b/>
          <w:bCs/>
          <w:i w:val="0"/>
          <w:strike w:val="0"/>
          <w:color w:val="000000"/>
          <w:sz w:val="32"/>
          <w:highlight w:val="none"/>
          <w:u w:val="none"/>
          <w:lang w:val="en-US" w:eastAsia="zh-CN"/>
        </w:rPr>
        <w:t>运用科技手段赋能监管。</w:t>
      </w:r>
      <w:r>
        <w:rPr>
          <w:rFonts w:hint="default" w:ascii="仿宋_GB2312" w:hAnsi="仿宋_GB2312" w:eastAsia="仿宋_GB2312" w:cs="仿宋_GB2312"/>
          <w:i w:val="0"/>
          <w:strike w:val="0"/>
          <w:color w:val="000000"/>
          <w:sz w:val="32"/>
          <w:highlight w:val="none"/>
          <w:u w:val="none"/>
        </w:rPr>
        <w:t>探索大数据等新技术在慈善监管中的应用，推动与市相关平台数据对接，实现信息互通与高效监管。</w:t>
      </w:r>
    </w:p>
    <w:p w14:paraId="0478D69A">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20" w:name="_Toc26348"/>
      <w:bookmarkStart w:id="121" w:name="_Toc19324"/>
      <w:r>
        <w:rPr>
          <w:rFonts w:ascii="楷体_GB2312" w:hAnsi="楷体_GB2312" w:eastAsia="楷体_GB2312" w:cs="楷体_GB2312"/>
          <w:i w:val="0"/>
          <w:strike w:val="0"/>
          <w:color w:val="000000"/>
          <w:spacing w:val="0"/>
          <w:sz w:val="32"/>
          <w:highlight w:val="none"/>
          <w:u w:val="none"/>
        </w:rPr>
        <w:t>（三）</w:t>
      </w:r>
      <w:r>
        <w:rPr>
          <w:rFonts w:hint="eastAsia" w:ascii="楷体_GB2312" w:hAnsi="楷体_GB2312" w:eastAsia="楷体_GB2312" w:cs="楷体_GB2312"/>
          <w:i w:val="0"/>
          <w:strike w:val="0"/>
          <w:color w:val="000000"/>
          <w:spacing w:val="0"/>
          <w:sz w:val="32"/>
          <w:highlight w:val="none"/>
          <w:u w:val="none"/>
        </w:rPr>
        <w:t>激发活力慈善新动能</w:t>
      </w:r>
      <w:bookmarkEnd w:id="120"/>
      <w:bookmarkEnd w:id="121"/>
    </w:p>
    <w:p w14:paraId="396AC20B">
      <w:pPr>
        <w:pageBreakBefore w:val="0"/>
        <w:widowControl w:val="0"/>
        <w:pBdr>
          <w:bottom w:val="none" w:color="auto" w:sz="0" w:space="0"/>
        </w:pBd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i w:val="0"/>
          <w:strike w:val="0"/>
          <w:color w:val="000000"/>
          <w:sz w:val="32"/>
          <w:highlight w:val="none"/>
          <w:u w:val="none"/>
        </w:rPr>
        <w:t>深化慈善供给侧改革，拓展多元参与路径，营造人人参与、处处温暖的慈善生态。</w:t>
      </w:r>
    </w:p>
    <w:p w14:paraId="3D7CE69B">
      <w:pPr>
        <w:pageBreakBefore w:val="0"/>
        <w:widowControl w:val="0"/>
        <w:pBdr>
          <w:bottom w:val="none" w:color="auto" w:sz="0" w:space="0"/>
        </w:pBd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_GB2312" w:hAnsi="仿宋_GB2312" w:eastAsia="仿宋_GB2312" w:cs="仿宋_GB2312"/>
          <w:i w:val="0"/>
          <w:strike w:val="0"/>
          <w:color w:val="000000"/>
          <w:sz w:val="32"/>
          <w:highlight w:val="none"/>
          <w:u w:val="none"/>
        </w:rPr>
      </w:pPr>
      <w:r>
        <w:rPr>
          <w:rFonts w:hint="default" w:ascii="仿宋_GB2312" w:hAnsi="仿宋_GB2312" w:eastAsia="仿宋_GB2312" w:cs="仿宋_GB2312"/>
          <w:b/>
          <w:bCs/>
          <w:i w:val="0"/>
          <w:strike w:val="0"/>
          <w:color w:val="000000"/>
          <w:sz w:val="32"/>
          <w:highlight w:val="none"/>
          <w:u w:val="none"/>
        </w:rPr>
        <w:t>打造特色慈善品牌项目。</w:t>
      </w:r>
      <w:r>
        <w:rPr>
          <w:rFonts w:hint="default" w:ascii="仿宋_GB2312" w:hAnsi="仿宋_GB2312" w:eastAsia="仿宋_GB2312" w:cs="仿宋_GB2312"/>
          <w:i w:val="0"/>
          <w:strike w:val="0"/>
          <w:color w:val="000000"/>
          <w:sz w:val="32"/>
          <w:highlight w:val="none"/>
          <w:u w:val="none"/>
        </w:rPr>
        <w:t>持续擦亮“慈善微跑”等品牌项目，举办公益慈善项目大赛，培育优质项目精准回应民生需求。建立慈善品牌孵化和引进机制，支持本土小而美项目发展，引进成熟优质慈善品牌落地</w:t>
      </w:r>
      <w:r>
        <w:rPr>
          <w:rFonts w:hint="eastAsia" w:ascii="仿宋_GB2312" w:hAnsi="仿宋_GB2312" w:eastAsia="仿宋_GB2312" w:cs="仿宋_GB2312"/>
          <w:i w:val="0"/>
          <w:strike w:val="0"/>
          <w:color w:val="000000"/>
          <w:sz w:val="32"/>
          <w:highlight w:val="none"/>
          <w:u w:val="none"/>
          <w:lang w:eastAsia="zh-CN"/>
        </w:rPr>
        <w:t>，</w:t>
      </w:r>
      <w:r>
        <w:rPr>
          <w:rFonts w:hint="eastAsia" w:ascii="仿宋_GB2312" w:hAnsi="仿宋_GB2312" w:eastAsia="仿宋_GB2312" w:cs="仿宋_GB2312"/>
          <w:i w:val="0"/>
          <w:strike w:val="0"/>
          <w:color w:val="000000"/>
          <w:sz w:val="32"/>
          <w:highlight w:val="none"/>
          <w:u w:val="none"/>
          <w:lang w:val="en-US" w:eastAsia="zh-CN"/>
        </w:rPr>
        <w:t>打造一批慈善品牌公益项目</w:t>
      </w:r>
      <w:r>
        <w:rPr>
          <w:rFonts w:hint="default" w:ascii="仿宋_GB2312" w:hAnsi="仿宋_GB2312" w:eastAsia="仿宋_GB2312" w:cs="仿宋_GB2312"/>
          <w:i w:val="0"/>
          <w:strike w:val="0"/>
          <w:color w:val="000000"/>
          <w:sz w:val="32"/>
          <w:highlight w:val="none"/>
          <w:u w:val="none"/>
        </w:rPr>
        <w:t>。</w:t>
      </w:r>
      <w:r>
        <w:rPr>
          <w:rFonts w:hint="default" w:ascii="仿宋_GB2312" w:hAnsi="仿宋_GB2312" w:eastAsia="仿宋_GB2312" w:cs="仿宋_GB2312"/>
          <w:b/>
          <w:bCs/>
          <w:i w:val="0"/>
          <w:strike w:val="0"/>
          <w:color w:val="000000"/>
          <w:sz w:val="32"/>
          <w:highlight w:val="none"/>
          <w:u w:val="none"/>
        </w:rPr>
        <w:t>完善多元募捐体系。</w:t>
      </w:r>
      <w:r>
        <w:rPr>
          <w:rFonts w:hint="default" w:ascii="仿宋_GB2312" w:hAnsi="仿宋_GB2312" w:eastAsia="仿宋_GB2312" w:cs="仿宋_GB2312"/>
          <w:i w:val="0"/>
          <w:strike w:val="0"/>
          <w:color w:val="000000"/>
          <w:sz w:val="32"/>
          <w:highlight w:val="none"/>
          <w:u w:val="none"/>
        </w:rPr>
        <w:t>健全以定向募捐、专项募捐和冠名基金为主体的多元募捐体系，扩大企业冠名基金规模并规范项目化运作。鼓励设立冠名基金、专项资金和项目捐赠，推动公益慈善组织设立困境儿童关爱服务专项基金等。</w:t>
      </w:r>
      <w:r>
        <w:rPr>
          <w:rFonts w:hint="default" w:ascii="仿宋_GB2312" w:hAnsi="仿宋_GB2312" w:eastAsia="仿宋_GB2312" w:cs="仿宋_GB2312"/>
          <w:b/>
          <w:bCs/>
          <w:i w:val="0"/>
          <w:strike w:val="0"/>
          <w:color w:val="000000"/>
          <w:sz w:val="32"/>
          <w:highlight w:val="none"/>
          <w:u w:val="none"/>
        </w:rPr>
        <w:t>推动慈善多业态融合发展。</w:t>
      </w:r>
      <w:r>
        <w:rPr>
          <w:rFonts w:hint="default" w:ascii="仿宋_GB2312" w:hAnsi="仿宋_GB2312" w:eastAsia="仿宋_GB2312" w:cs="仿宋_GB2312"/>
          <w:i w:val="0"/>
          <w:strike w:val="0"/>
          <w:color w:val="000000"/>
          <w:sz w:val="32"/>
          <w:highlight w:val="none"/>
          <w:u w:val="none"/>
        </w:rPr>
        <w:t>探索“慈善+科技”“慈善+服务”等融合模式，支持社会企业、公益创投等新业态发展。以社区慈善为重要突破口，拓展社区、企业、家庭参与路径，探索具有中国特色的慈善发展新路。</w:t>
      </w:r>
      <w:r>
        <w:rPr>
          <w:rFonts w:hint="default" w:ascii="仿宋_GB2312" w:hAnsi="仿宋_GB2312" w:eastAsia="仿宋_GB2312" w:cs="仿宋_GB2312"/>
          <w:b/>
          <w:bCs/>
          <w:i w:val="0"/>
          <w:strike w:val="0"/>
          <w:color w:val="000000"/>
          <w:sz w:val="32"/>
          <w:highlight w:val="none"/>
          <w:u w:val="none"/>
        </w:rPr>
        <w:t>建强慈善文化宣传阵地。</w:t>
      </w:r>
      <w:r>
        <w:rPr>
          <w:rFonts w:hint="default" w:ascii="仿宋_GB2312" w:hAnsi="仿宋_GB2312" w:eastAsia="仿宋_GB2312" w:cs="仿宋_GB2312"/>
          <w:i w:val="0"/>
          <w:strike w:val="0"/>
          <w:color w:val="000000"/>
          <w:sz w:val="32"/>
          <w:highlight w:val="none"/>
          <w:u w:val="none"/>
        </w:rPr>
        <w:t>充分发挥慈善关爱空间的作用，力争到2030年底前打造10个特色慈善关爱空间。联合融媒体讲好宝安慈善故事，弘扬慈善文化，引导爱心企业和个人资助“老少弱困”群体专业服务。</w:t>
      </w:r>
    </w:p>
    <w:p w14:paraId="03CF50BB">
      <w:pPr>
        <w:pStyle w:val="7"/>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1"/>
        <w:rPr>
          <w:color w:val="000000"/>
          <w:highlight w:val="none"/>
        </w:rPr>
      </w:pPr>
      <w:bookmarkStart w:id="122" w:name="_Toc10214"/>
      <w:bookmarkStart w:id="123" w:name="_Toc16840"/>
      <w:r>
        <w:rPr>
          <w:rFonts w:ascii="楷体_GB2312" w:hAnsi="楷体_GB2312" w:eastAsia="楷体_GB2312" w:cs="楷体_GB2312"/>
          <w:i w:val="0"/>
          <w:strike w:val="0"/>
          <w:color w:val="000000"/>
          <w:spacing w:val="0"/>
          <w:sz w:val="32"/>
          <w:highlight w:val="none"/>
          <w:u w:val="none"/>
        </w:rPr>
        <w:t>（四）</w:t>
      </w:r>
      <w:bookmarkEnd w:id="122"/>
      <w:r>
        <w:rPr>
          <w:rFonts w:hint="eastAsia" w:ascii="楷体_GB2312" w:hAnsi="楷体_GB2312" w:eastAsia="楷体_GB2312" w:cs="楷体_GB2312"/>
          <w:i w:val="0"/>
          <w:strike w:val="0"/>
          <w:color w:val="000000"/>
          <w:spacing w:val="0"/>
          <w:sz w:val="32"/>
          <w:highlight w:val="none"/>
          <w:u w:val="none"/>
        </w:rPr>
        <w:t>加快智慧慈善全面转型</w:t>
      </w:r>
      <w:bookmarkEnd w:id="123"/>
    </w:p>
    <w:p w14:paraId="5BB91D08">
      <w:pPr>
        <w:pageBreakBefore w:val="0"/>
        <w:widowControl w:val="0"/>
        <w:pBdr>
          <w:bottom w:val="none" w:color="auto" w:sz="0" w:space="0"/>
        </w:pBd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rPr>
      </w:pPr>
      <w:r>
        <w:rPr>
          <w:rFonts w:hint="eastAsia" w:ascii="仿宋_GB2312" w:hAnsi="仿宋_GB2312" w:eastAsia="仿宋_GB2312" w:cs="仿宋_GB2312"/>
          <w:i w:val="0"/>
          <w:strike w:val="0"/>
          <w:color w:val="000000"/>
          <w:sz w:val="32"/>
          <w:highlight w:val="none"/>
          <w:u w:val="none"/>
        </w:rPr>
        <w:t>以数字化建设为核心驱动力，全面打造高效、便捷、可信的智慧慈善体系。</w:t>
      </w:r>
    </w:p>
    <w:p w14:paraId="65971C36">
      <w:pPr>
        <w:pageBreakBefore w:val="0"/>
        <w:widowControl w:val="0"/>
        <w:pBdr>
          <w:bottom w:val="none" w:color="auto" w:sz="0" w:space="0"/>
        </w:pBd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rPr>
      </w:pPr>
      <w:r>
        <w:rPr>
          <w:rFonts w:hint="eastAsia" w:ascii="仿宋_GB2312" w:hAnsi="仿宋_GB2312" w:eastAsia="仿宋_GB2312" w:cs="仿宋_GB2312"/>
          <w:b/>
          <w:bCs/>
          <w:i w:val="0"/>
          <w:strike w:val="0"/>
          <w:color w:val="000000"/>
          <w:sz w:val="32"/>
          <w:highlight w:val="none"/>
          <w:u w:val="none"/>
        </w:rPr>
        <w:t>搭建数字化服务平台矩阵。</w:t>
      </w:r>
      <w:r>
        <w:rPr>
          <w:rFonts w:hint="eastAsia" w:ascii="仿宋_GB2312" w:hAnsi="仿宋_GB2312" w:eastAsia="仿宋_GB2312" w:cs="仿宋_GB2312"/>
          <w:i w:val="0"/>
          <w:strike w:val="0"/>
          <w:color w:val="000000"/>
          <w:sz w:val="32"/>
          <w:highlight w:val="none"/>
          <w:u w:val="none"/>
        </w:rPr>
        <w:t>搭建并优化宝安区慈善会小程序、官网和微信公众号，简化捐赠流程，支持定向捐赠、专项捐赠等多场景捐赠，实现捐赠端全面数字化。</w:t>
      </w:r>
      <w:r>
        <w:rPr>
          <w:rFonts w:hint="eastAsia" w:ascii="仿宋_GB2312" w:hAnsi="仿宋_GB2312" w:eastAsia="仿宋_GB2312" w:cs="仿宋_GB2312"/>
          <w:b/>
          <w:bCs/>
          <w:i w:val="0"/>
          <w:strike w:val="0"/>
          <w:color w:val="000000"/>
          <w:sz w:val="32"/>
          <w:highlight w:val="none"/>
          <w:u w:val="none"/>
          <w:lang w:val="en-US" w:eastAsia="zh-CN"/>
        </w:rPr>
        <w:t>建立可视化执行反馈体系。</w:t>
      </w:r>
      <w:r>
        <w:rPr>
          <w:rFonts w:hint="eastAsia" w:ascii="仿宋_GB2312" w:hAnsi="仿宋_GB2312" w:eastAsia="仿宋_GB2312" w:cs="仿宋_GB2312"/>
          <w:i w:val="0"/>
          <w:strike w:val="0"/>
          <w:color w:val="000000"/>
          <w:sz w:val="32"/>
          <w:highlight w:val="none"/>
          <w:u w:val="none"/>
        </w:rPr>
        <w:t>运用数字化系统整合捐赠、项目、受助者数据，建立“项目进度可视化体系”，定期向捐赠人推送图文、视频形式的执行报告，实现执行反馈端数字化，增强透明度和信任度。</w:t>
      </w:r>
      <w:r>
        <w:rPr>
          <w:rFonts w:hint="eastAsia" w:ascii="仿宋_GB2312" w:hAnsi="仿宋_GB2312" w:eastAsia="仿宋_GB2312" w:cs="仿宋_GB2312"/>
          <w:b/>
          <w:bCs/>
          <w:i w:val="0"/>
          <w:strike w:val="0"/>
          <w:color w:val="000000"/>
          <w:sz w:val="32"/>
          <w:highlight w:val="none"/>
          <w:u w:val="none"/>
          <w:lang w:val="en-US" w:eastAsia="zh-CN"/>
        </w:rPr>
        <w:t>优化智慧慈善服务与帮扶模式。</w:t>
      </w:r>
      <w:r>
        <w:rPr>
          <w:rFonts w:hint="eastAsia" w:ascii="仿宋_GB2312" w:hAnsi="仿宋_GB2312" w:eastAsia="仿宋_GB2312" w:cs="仿宋_GB2312"/>
          <w:i w:val="0"/>
          <w:strike w:val="0"/>
          <w:color w:val="000000"/>
          <w:sz w:val="32"/>
          <w:highlight w:val="none"/>
          <w:u w:val="none"/>
        </w:rPr>
        <w:t>持续优化“智慧慈善超市”系统，为困难群众提供“线上+线下”一站式综合救助服务。规范冠名基金管理，推行“物质+服务”救助模式，链接人力资源服务资源，拓宽就业渠道，实施“造血式”帮扶，精准弥补政府救助盲点。</w:t>
      </w:r>
    </w:p>
    <w:tbl>
      <w:tblPr>
        <w:tblStyle w:val="35"/>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842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48" w:type="dxa"/>
            <w:noWrap w:val="0"/>
            <w:vAlign w:val="top"/>
          </w:tcPr>
          <w:p w14:paraId="50C9D4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outlineLvl w:val="9"/>
              <w:rPr>
                <w:rFonts w:eastAsia="仿宋_GB2312" w:cs="Times New Roman"/>
                <w:kern w:val="0"/>
                <w:sz w:val="28"/>
                <w:szCs w:val="28"/>
              </w:rPr>
            </w:pPr>
            <w:r>
              <w:rPr>
                <w:rFonts w:hint="eastAsia" w:eastAsia="仿宋_GB2312" w:cs="Times New Roman"/>
                <w:b/>
                <w:bCs/>
                <w:kern w:val="0"/>
                <w:sz w:val="28"/>
                <w:szCs w:val="28"/>
              </w:rPr>
              <w:t>专栏</w:t>
            </w:r>
            <w:r>
              <w:rPr>
                <w:rFonts w:hint="eastAsia" w:eastAsia="仿宋_GB2312" w:cs="Times New Roman"/>
                <w:b/>
                <w:bCs/>
                <w:kern w:val="0"/>
                <w:sz w:val="28"/>
                <w:szCs w:val="28"/>
                <w:lang w:val="en-US" w:eastAsia="zh-CN"/>
              </w:rPr>
              <w:t>7</w:t>
            </w:r>
            <w:r>
              <w:rPr>
                <w:rFonts w:eastAsia="仿宋_GB2312" w:cs="Times New Roman"/>
                <w:b/>
                <w:bCs/>
                <w:kern w:val="0"/>
                <w:sz w:val="28"/>
                <w:szCs w:val="28"/>
              </w:rPr>
              <w:t xml:space="preserve">  现代慈善治理提升工程</w:t>
            </w:r>
          </w:p>
        </w:tc>
      </w:tr>
      <w:tr w14:paraId="4B6D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8948" w:type="dxa"/>
            <w:noWrap w:val="0"/>
            <w:vAlign w:val="top"/>
          </w:tcPr>
          <w:p w14:paraId="7D70B82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lang w:eastAsia="zh-CN"/>
              </w:rPr>
            </w:pPr>
            <w:r>
              <w:rPr>
                <w:rFonts w:hint="eastAsia" w:eastAsia="仿宋_GB2312" w:cs="Times New Roman"/>
                <w:b/>
                <w:bCs/>
                <w:kern w:val="0"/>
                <w:sz w:val="28"/>
                <w:szCs w:val="28"/>
                <w:lang w:eastAsia="zh-CN"/>
              </w:rPr>
              <w:t>慈善品牌项目孵化提质工程。</w:t>
            </w:r>
            <w:r>
              <w:rPr>
                <w:rFonts w:hint="eastAsia" w:eastAsia="仿宋_GB2312" w:cs="Times New Roman"/>
                <w:kern w:val="0"/>
                <w:sz w:val="28"/>
                <w:szCs w:val="28"/>
                <w:lang w:eastAsia="zh-CN"/>
              </w:rPr>
              <w:t>充分发挥宝安慈善创益空间作用，积极引领机关、企业、社区及各社会组织等人员参观了解宝安慈善文化进校园成果，继续深化慈善文化进校园工程。通过项目大赛开展市集慈善，让项目从封闭机构延伸至高流量的商圈，让广大市民走进慈善，广泛营造善行宝安的良好氛围。</w:t>
            </w:r>
          </w:p>
          <w:p w14:paraId="0A8BFB4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562"/>
              <w:textAlignment w:val="auto"/>
              <w:outlineLvl w:val="9"/>
              <w:rPr>
                <w:rFonts w:hint="eastAsia" w:eastAsia="仿宋_GB2312" w:cs="Times New Roman"/>
                <w:kern w:val="0"/>
                <w:sz w:val="28"/>
                <w:szCs w:val="28"/>
              </w:rPr>
            </w:pPr>
            <w:r>
              <w:rPr>
                <w:rFonts w:hint="eastAsia" w:eastAsia="仿宋_GB2312" w:cs="Times New Roman"/>
                <w:b/>
                <w:bCs/>
                <w:kern w:val="0"/>
                <w:sz w:val="28"/>
                <w:szCs w:val="28"/>
              </w:rPr>
              <w:t>“阳光慈善”公信力提升工程。</w:t>
            </w:r>
            <w:r>
              <w:rPr>
                <w:rFonts w:hint="eastAsia" w:eastAsia="仿宋_GB2312" w:cs="Times New Roman"/>
                <w:kern w:val="0"/>
                <w:sz w:val="28"/>
                <w:szCs w:val="28"/>
              </w:rPr>
              <w:t>依法督促慈善组织做好信息公开及募捐活动、慈善项目备案，依托“慈善中国”网站强化信息公开透明度，自觉接受社会监督。强化科技赋能，探索大数据等技术在慈善监管中的应用，推动与市相关平台数据对接，实现高效监管。</w:t>
            </w:r>
          </w:p>
        </w:tc>
      </w:tr>
    </w:tbl>
    <w:p w14:paraId="269EB1E9">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color w:val="000000"/>
          <w:sz w:val="32"/>
          <w:szCs w:val="32"/>
          <w:highlight w:val="none"/>
        </w:rPr>
      </w:pPr>
      <w:bookmarkStart w:id="124" w:name="_Toc17018"/>
      <w:bookmarkStart w:id="125" w:name="_Toc27926"/>
      <w:r>
        <w:rPr>
          <w:rFonts w:ascii="黑体" w:hAnsi="黑体" w:eastAsia="黑体" w:cs="黑体"/>
          <w:i w:val="0"/>
          <w:strike w:val="0"/>
          <w:color w:val="000000"/>
          <w:spacing w:val="0"/>
          <w:sz w:val="32"/>
          <w:szCs w:val="32"/>
          <w:highlight w:val="none"/>
          <w:u w:val="none"/>
        </w:rPr>
        <w:t>第</w:t>
      </w:r>
      <w:r>
        <w:rPr>
          <w:rFonts w:hint="eastAsia" w:ascii="黑体" w:hAnsi="黑体" w:cs="黑体"/>
          <w:i w:val="0"/>
          <w:strike w:val="0"/>
          <w:color w:val="000000"/>
          <w:spacing w:val="0"/>
          <w:sz w:val="32"/>
          <w:szCs w:val="32"/>
          <w:highlight w:val="none"/>
          <w:u w:val="none"/>
          <w:lang w:val="en-US" w:eastAsia="zh-CN"/>
        </w:rPr>
        <w:t>四</w:t>
      </w:r>
      <w:r>
        <w:rPr>
          <w:rFonts w:ascii="黑体" w:hAnsi="黑体" w:eastAsia="黑体" w:cs="黑体"/>
          <w:i w:val="0"/>
          <w:strike w:val="0"/>
          <w:color w:val="000000"/>
          <w:spacing w:val="0"/>
          <w:sz w:val="32"/>
          <w:szCs w:val="32"/>
          <w:highlight w:val="none"/>
          <w:u w:val="none"/>
        </w:rPr>
        <w:t>章 保障措施</w:t>
      </w:r>
      <w:bookmarkEnd w:id="124"/>
    </w:p>
    <w:p w14:paraId="1E5B5934">
      <w:pPr>
        <w:pStyle w:val="6"/>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0"/>
        <w:rPr>
          <w:color w:val="000000"/>
          <w:highlight w:val="none"/>
        </w:rPr>
      </w:pPr>
      <w:bookmarkStart w:id="126" w:name="_Toc10703"/>
      <w:r>
        <w:rPr>
          <w:rFonts w:ascii="黑体" w:hAnsi="黑体" w:eastAsia="黑体" w:cs="黑体"/>
          <w:i w:val="0"/>
          <w:strike w:val="0"/>
          <w:color w:val="000000"/>
          <w:spacing w:val="0"/>
          <w:sz w:val="32"/>
          <w:highlight w:val="none"/>
          <w:u w:val="none"/>
        </w:rPr>
        <w:t>一、</w:t>
      </w:r>
      <w:bookmarkEnd w:id="125"/>
      <w:r>
        <w:rPr>
          <w:rFonts w:ascii="黑体" w:hAnsi="黑体" w:eastAsia="黑体" w:cs="黑体"/>
          <w:i w:val="0"/>
          <w:strike w:val="0"/>
          <w:color w:val="000000"/>
          <w:spacing w:val="0"/>
          <w:sz w:val="32"/>
          <w:highlight w:val="none"/>
          <w:u w:val="none"/>
        </w:rPr>
        <w:t>强化组织保障，坚持党的领导</w:t>
      </w:r>
      <w:bookmarkEnd w:id="126"/>
    </w:p>
    <w:p w14:paraId="4FA3CA2C">
      <w:pPr>
        <w:pageBreakBefore w:val="0"/>
        <w:widowControl w:val="0"/>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i w:val="0"/>
          <w:strike w:val="0"/>
          <w:color w:val="000000"/>
          <w:spacing w:val="0"/>
          <w:sz w:val="32"/>
          <w:highlight w:val="none"/>
          <w:u w:val="none"/>
        </w:rPr>
        <w:t>坚持和加强党对民政工作的全面领导，健全常态化长效化理论学习机制，严明政治纪律和政治规矩，严格执行中央八项规定及其实施细则精神，持续深化社会救助、养老服务、公益慈善、殡葬服务等重点领域专项整治，推动党建与业务深度融合。</w:t>
      </w:r>
      <w:r>
        <w:rPr>
          <w:rFonts w:hint="eastAsia" w:ascii="仿宋_GB2312" w:hAnsi="仿宋_GB2312" w:eastAsia="仿宋_GB2312" w:cs="仿宋_GB2312"/>
          <w:i w:val="0"/>
          <w:strike w:val="0"/>
          <w:color w:val="000000"/>
          <w:spacing w:val="0"/>
          <w:sz w:val="32"/>
          <w:highlight w:val="none"/>
          <w:u w:val="none"/>
          <w:lang w:eastAsia="zh-CN"/>
        </w:rPr>
        <w:t>落实全面从严治党</w:t>
      </w:r>
      <w:r>
        <w:rPr>
          <w:rFonts w:hint="eastAsia" w:ascii="仿宋_GB2312" w:hAnsi="仿宋_GB2312" w:eastAsia="仿宋_GB2312" w:cs="仿宋_GB2312"/>
          <w:i w:val="0"/>
          <w:strike w:val="0"/>
          <w:color w:val="000000"/>
          <w:spacing w:val="0"/>
          <w:sz w:val="32"/>
          <w:highlight w:val="none"/>
          <w:u w:val="none"/>
        </w:rPr>
        <w:t>主体责任，完善廉政风险防控机制，强化督查考核和绩效管理。深化“一支部一品牌”创建，打造一批具有宝安辨识度的民政党建品牌，充分发挥基层党组织战斗堡垒和党员先锋模范作用，推动党建成效转化为解决群众急难愁盼、助力“百千万工程”的实绩实效，为规划实施提供坚强政治保障。</w:t>
      </w:r>
    </w:p>
    <w:p w14:paraId="46B3FC0A">
      <w:pPr>
        <w:pStyle w:val="6"/>
        <w:pageBreakBefore w:val="0"/>
        <w:widowControl w:val="0"/>
        <w:kinsoku/>
        <w:wordWrap/>
        <w:overflowPunct/>
        <w:topLinePunct w:val="0"/>
        <w:autoSpaceDE/>
        <w:autoSpaceDN/>
        <w:bidi w:val="0"/>
        <w:adjustRightInd/>
        <w:snapToGrid/>
        <w:spacing w:before="0" w:after="0"/>
        <w:ind w:left="0" w:right="0" w:firstLine="640" w:firstLineChars="200"/>
        <w:jc w:val="both"/>
        <w:textAlignment w:val="auto"/>
        <w:outlineLvl w:val="0"/>
        <w:rPr>
          <w:rFonts w:ascii="仿宋_GB2312" w:hAnsi="仿宋_GB2312" w:eastAsia="仿宋_GB2312" w:cs="仿宋_GB2312"/>
          <w:i w:val="0"/>
          <w:strike w:val="0"/>
          <w:color w:val="000000"/>
          <w:spacing w:val="0"/>
          <w:sz w:val="32"/>
          <w:highlight w:val="none"/>
          <w:u w:val="none"/>
        </w:rPr>
      </w:pPr>
      <w:bookmarkStart w:id="127" w:name="_Toc24878"/>
      <w:bookmarkStart w:id="128" w:name="_Toc15106"/>
      <w:r>
        <w:rPr>
          <w:rFonts w:ascii="黑体" w:hAnsi="黑体" w:eastAsia="黑体" w:cs="黑体"/>
          <w:i w:val="0"/>
          <w:strike w:val="0"/>
          <w:color w:val="000000"/>
          <w:spacing w:val="0"/>
          <w:sz w:val="32"/>
          <w:highlight w:val="none"/>
          <w:u w:val="none"/>
        </w:rPr>
        <w:t>二、建强人才队伍，提升服务能级</w:t>
      </w:r>
      <w:bookmarkEnd w:id="127"/>
      <w:bookmarkEnd w:id="128"/>
    </w:p>
    <w:p w14:paraId="6CA30BE5">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i w:val="0"/>
          <w:strike w:val="0"/>
          <w:color w:val="000000"/>
          <w:spacing w:val="0"/>
          <w:sz w:val="32"/>
          <w:highlight w:val="none"/>
          <w:u w:val="none"/>
        </w:rPr>
        <w:t>围绕民政事业高质量发展需求，系统构建结构合理、素质优良的民政人才体系，完善人才引进、培养、评价和激励机制，推动建立民政专家库，优化人才资源配置。创新“岗位—培训—评价—就业”一体化培养模式，深化养老服务领域校企合作与公费培养试点，健全养老护理员职业发展体系。以技能竞赛和能力评估为抓手，推动“以赛促训、训赛融合”，促进竞赛成果转化为课程标准与职业能力，加快培育行业领军与标杆人才。完善干部选育管用机制，强化思想淬炼、政治历练、实践锻炼与专业训练，全面提升民政队伍职业素养、履职能力和服务效能，为“十五五”民政事业发展提供坚实人才支撑。</w:t>
      </w:r>
    </w:p>
    <w:p w14:paraId="473E0DC1">
      <w:pPr>
        <w:pStyle w:val="6"/>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0"/>
        <w:rPr>
          <w:color w:val="000000"/>
          <w:highlight w:val="none"/>
        </w:rPr>
      </w:pPr>
      <w:bookmarkStart w:id="129" w:name="_Toc26500"/>
      <w:r>
        <w:rPr>
          <w:rFonts w:ascii="黑体" w:hAnsi="黑体" w:eastAsia="黑体" w:cs="黑体"/>
          <w:i w:val="0"/>
          <w:strike w:val="0"/>
          <w:color w:val="000000"/>
          <w:spacing w:val="0"/>
          <w:sz w:val="32"/>
          <w:highlight w:val="none"/>
          <w:u w:val="none"/>
        </w:rPr>
        <w:t>三、</w:t>
      </w:r>
      <w:r>
        <w:rPr>
          <w:rFonts w:hint="eastAsia" w:ascii="黑体" w:hAnsi="黑体" w:eastAsia="黑体" w:cs="黑体"/>
          <w:i w:val="0"/>
          <w:strike w:val="0"/>
          <w:color w:val="000000"/>
          <w:spacing w:val="0"/>
          <w:sz w:val="32"/>
          <w:highlight w:val="none"/>
          <w:u w:val="none"/>
        </w:rPr>
        <w:t>筑牢法安根基，强化制度支撑</w:t>
      </w:r>
      <w:bookmarkEnd w:id="129"/>
    </w:p>
    <w:p w14:paraId="34CD99CB">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pacing w:val="0"/>
          <w:sz w:val="32"/>
          <w:highlight w:val="none"/>
          <w:u w:val="none"/>
          <w:lang w:val="en-US" w:eastAsia="zh-CN"/>
        </w:rPr>
      </w:pPr>
      <w:r>
        <w:rPr>
          <w:rFonts w:ascii="仿宋_GB2312" w:hAnsi="仿宋_GB2312" w:eastAsia="仿宋_GB2312" w:cs="仿宋_GB2312"/>
          <w:i w:val="0"/>
          <w:strike w:val="0"/>
          <w:color w:val="000000"/>
          <w:spacing w:val="0"/>
          <w:sz w:val="32"/>
          <w:highlight w:val="none"/>
          <w:u w:val="none"/>
          <w:lang w:val="en-US" w:eastAsia="zh-CN"/>
        </w:rPr>
        <w:t>加快构建与超大城市治理相匹配的民政法治与安全体系。强化法治化标准化建设</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系统构建民政法规政策执行体系，绘制区级“清单导图”并制定专项计划</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深化标准研制与应用，完善区级规范标准及监督评估体系</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构建大安全工作体系</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一体化落实意识形态、安全生产等领域风险排查整改</w:t>
      </w:r>
      <w:r>
        <w:rPr>
          <w:rFonts w:hint="eastAsia" w:ascii="仿宋_GB2312" w:hAnsi="仿宋_GB2312" w:eastAsia="仿宋_GB2312" w:cs="仿宋_GB2312"/>
          <w:i w:val="0"/>
          <w:strike w:val="0"/>
          <w:color w:val="000000"/>
          <w:spacing w:val="0"/>
          <w:sz w:val="32"/>
          <w:highlight w:val="none"/>
          <w:u w:val="none"/>
          <w:lang w:val="en-US" w:eastAsia="zh-CN"/>
        </w:rPr>
        <w:t>，不断</w:t>
      </w:r>
      <w:r>
        <w:rPr>
          <w:rFonts w:ascii="仿宋_GB2312" w:hAnsi="仿宋_GB2312" w:eastAsia="仿宋_GB2312" w:cs="仿宋_GB2312"/>
          <w:i w:val="0"/>
          <w:strike w:val="0"/>
          <w:color w:val="000000"/>
          <w:spacing w:val="0"/>
          <w:sz w:val="32"/>
          <w:highlight w:val="none"/>
          <w:u w:val="none"/>
          <w:lang w:val="en-US" w:eastAsia="zh-CN"/>
        </w:rPr>
        <w:t>健全“舆情监测—响应—反馈”民生诉求处置机制</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巩固“人防、物防、技防、制度防”综合防线，建立风险清单与快速处置的安全防控体系</w:t>
      </w:r>
      <w:r>
        <w:rPr>
          <w:rFonts w:hint="eastAsia" w:ascii="仿宋_GB2312" w:hAnsi="仿宋_GB2312" w:eastAsia="仿宋_GB2312" w:cs="仿宋_GB2312"/>
          <w:i w:val="0"/>
          <w:strike w:val="0"/>
          <w:color w:val="000000"/>
          <w:spacing w:val="0"/>
          <w:sz w:val="32"/>
          <w:highlight w:val="none"/>
          <w:u w:val="none"/>
          <w:lang w:val="en-US" w:eastAsia="zh-CN"/>
        </w:rPr>
        <w:t>。</w:t>
      </w:r>
      <w:r>
        <w:rPr>
          <w:rFonts w:ascii="仿宋_GB2312" w:hAnsi="仿宋_GB2312" w:eastAsia="仿宋_GB2312" w:cs="仿宋_GB2312"/>
          <w:i w:val="0"/>
          <w:strike w:val="0"/>
          <w:color w:val="000000"/>
          <w:spacing w:val="0"/>
          <w:sz w:val="32"/>
          <w:highlight w:val="none"/>
          <w:u w:val="none"/>
          <w:lang w:val="en-US" w:eastAsia="zh-CN"/>
        </w:rPr>
        <w:t>健全领导包干与部门协同机制，实现民政服务机构安全生产监管全覆盖。</w:t>
      </w:r>
    </w:p>
    <w:p w14:paraId="3189CC8B">
      <w:pPr>
        <w:pStyle w:val="6"/>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0"/>
        <w:rPr>
          <w:color w:val="000000"/>
          <w:highlight w:val="none"/>
        </w:rPr>
      </w:pPr>
      <w:bookmarkStart w:id="130" w:name="_Toc24733"/>
      <w:bookmarkStart w:id="131" w:name="_Toc16200"/>
      <w:r>
        <w:rPr>
          <w:rFonts w:hint="eastAsia" w:ascii="黑体" w:hAnsi="黑体" w:eastAsia="黑体" w:cs="黑体"/>
          <w:i w:val="0"/>
          <w:strike w:val="0"/>
          <w:color w:val="000000"/>
          <w:spacing w:val="0"/>
          <w:sz w:val="32"/>
          <w:highlight w:val="none"/>
          <w:u w:val="none"/>
          <w:lang w:val="en-US" w:eastAsia="zh-CN"/>
        </w:rPr>
        <w:t>四</w:t>
      </w:r>
      <w:r>
        <w:rPr>
          <w:rFonts w:ascii="黑体" w:hAnsi="黑体" w:eastAsia="黑体" w:cs="黑体"/>
          <w:i w:val="0"/>
          <w:strike w:val="0"/>
          <w:color w:val="000000"/>
          <w:spacing w:val="0"/>
          <w:sz w:val="32"/>
          <w:highlight w:val="none"/>
          <w:u w:val="none"/>
        </w:rPr>
        <w:t>、拓宽资源渠道，强化资金保障</w:t>
      </w:r>
      <w:bookmarkEnd w:id="130"/>
      <w:bookmarkEnd w:id="131"/>
    </w:p>
    <w:p w14:paraId="4E64587D">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i w:val="0"/>
          <w:strike w:val="0"/>
          <w:color w:val="000000"/>
          <w:spacing w:val="0"/>
          <w:sz w:val="32"/>
          <w:highlight w:val="none"/>
          <w:u w:val="none"/>
        </w:rPr>
        <w:t>健全“财政优先保障、社会多元参与、慈善公益补充”的多维资金筹措机制，持续加大民政领域财政投入力度，稳步提高民生支出在财政预算中的比重。积极创新政企社协同合作模式，鼓励和引导社会资本、辖区重点企业、公益组织等多方力量参与养老服务设施建设、社区服务提升等民生项目。加强福利彩票公益金统筹使用和规范管理，完善慈善捐赠资金全流程监管机制，建立健全资金使用绩效评估与信息公开制度，推进资金安排与使用效益挂钩，增强资金管理的规范性和透明度。持续优化资金配置结构，提升资源使用效益和可持续性，为民政事业高质量发展提供稳定、高效的资金支持与制度保障。</w:t>
      </w:r>
    </w:p>
    <w:p w14:paraId="1E4D69A2">
      <w:pPr>
        <w:pStyle w:val="6"/>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0"/>
        <w:rPr>
          <w:color w:val="000000"/>
          <w:highlight w:val="none"/>
        </w:rPr>
      </w:pPr>
      <w:bookmarkStart w:id="132" w:name="_Toc27526"/>
      <w:bookmarkStart w:id="133" w:name="_Toc23718"/>
      <w:r>
        <w:rPr>
          <w:rFonts w:hint="eastAsia" w:ascii="黑体" w:hAnsi="黑体" w:eastAsia="黑体" w:cs="黑体"/>
          <w:i w:val="0"/>
          <w:strike w:val="0"/>
          <w:color w:val="000000"/>
          <w:spacing w:val="0"/>
          <w:sz w:val="32"/>
          <w:highlight w:val="none"/>
          <w:u w:val="none"/>
          <w:lang w:val="en-US" w:eastAsia="zh-CN"/>
        </w:rPr>
        <w:t>五</w:t>
      </w:r>
      <w:r>
        <w:rPr>
          <w:rFonts w:ascii="黑体" w:hAnsi="黑体" w:eastAsia="黑体" w:cs="黑体"/>
          <w:i w:val="0"/>
          <w:strike w:val="0"/>
          <w:color w:val="000000"/>
          <w:spacing w:val="0"/>
          <w:sz w:val="32"/>
          <w:highlight w:val="none"/>
          <w:u w:val="none"/>
        </w:rPr>
        <w:t>、</w:t>
      </w:r>
      <w:r>
        <w:rPr>
          <w:rFonts w:hint="eastAsia" w:ascii="黑体" w:hAnsi="黑体" w:eastAsia="黑体" w:cs="黑体"/>
          <w:i w:val="0"/>
          <w:strike w:val="0"/>
          <w:color w:val="000000"/>
          <w:spacing w:val="0"/>
          <w:sz w:val="32"/>
          <w:highlight w:val="none"/>
          <w:u w:val="none"/>
        </w:rPr>
        <w:t>聚焦管理效能</w:t>
      </w:r>
      <w:r>
        <w:rPr>
          <w:rFonts w:ascii="黑体" w:hAnsi="黑体" w:eastAsia="黑体" w:cs="黑体"/>
          <w:i w:val="0"/>
          <w:strike w:val="0"/>
          <w:color w:val="000000"/>
          <w:spacing w:val="0"/>
          <w:sz w:val="32"/>
          <w:highlight w:val="none"/>
          <w:u w:val="none"/>
        </w:rPr>
        <w:t>，压实主体责任</w:t>
      </w:r>
      <w:bookmarkEnd w:id="132"/>
      <w:bookmarkEnd w:id="133"/>
    </w:p>
    <w:p w14:paraId="69B6CC7C">
      <w:pPr>
        <w:pageBreakBefore w:val="0"/>
        <w:widowControl w:val="0"/>
        <w:kinsoku/>
        <w:wordWrap/>
        <w:overflowPunct/>
        <w:topLinePunct w:val="0"/>
        <w:autoSpaceDE/>
        <w:autoSpaceDN/>
        <w:bidi w:val="0"/>
        <w:adjustRightInd/>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pacing w:val="0"/>
          <w:sz w:val="32"/>
          <w:highlight w:val="none"/>
          <w:u w:val="none"/>
        </w:rPr>
      </w:pPr>
      <w:r>
        <w:rPr>
          <w:rFonts w:ascii="仿宋_GB2312" w:hAnsi="仿宋_GB2312" w:eastAsia="仿宋_GB2312" w:cs="仿宋_GB2312"/>
          <w:i w:val="0"/>
          <w:strike w:val="0"/>
          <w:color w:val="000000"/>
          <w:spacing w:val="0"/>
          <w:sz w:val="32"/>
          <w:highlight w:val="none"/>
          <w:u w:val="none"/>
        </w:rPr>
        <w:t>构建民政工作全周期闭环管理机制，实行</w:t>
      </w:r>
      <w:r>
        <w:rPr>
          <w:rFonts w:hint="eastAsia"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年度目标清单+动态监测预警</w:t>
      </w:r>
      <w:r>
        <w:rPr>
          <w:rFonts w:hint="eastAsia"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管理模式，将规划任务逐级分解为可量化、可考核的阶段性目标。健全</w:t>
      </w:r>
      <w:r>
        <w:rPr>
          <w:rFonts w:hint="eastAsia"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季度督查、中期评估、终期考核</w:t>
      </w:r>
      <w:r>
        <w:rPr>
          <w:rFonts w:hint="eastAsia" w:cs="仿宋_GB2312"/>
          <w:i w:val="0"/>
          <w:strike w:val="0"/>
          <w:color w:val="000000"/>
          <w:spacing w:val="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的督考一体机制，积极引入第三方专业评估和群众满意度测评，强化结果运用与激励问责，推动责任层层落实。完善绩效管理体系，健全部门协同机制，强化跨部门工作会商和信息共享，形成工作合力。建立规划实施情况定期报告和通报制度，将规划落实情况纳入绩效考核体系，确保各项任务有序推进、有效落实，为民政事业高质量发展提供坚实的管理支撑。</w:t>
      </w:r>
    </w:p>
    <w:p w14:paraId="6997977D">
      <w:pPr>
        <w:pStyle w:val="6"/>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outlineLvl w:val="0"/>
        <w:rPr>
          <w:color w:val="000000"/>
          <w:highlight w:val="none"/>
        </w:rPr>
      </w:pPr>
      <w:bookmarkStart w:id="134" w:name="_Toc29212"/>
      <w:bookmarkStart w:id="135" w:name="_Toc18690"/>
      <w:r>
        <w:rPr>
          <w:rFonts w:hint="eastAsia" w:ascii="黑体" w:hAnsi="黑体" w:eastAsia="黑体" w:cs="黑体"/>
          <w:i w:val="0"/>
          <w:strike w:val="0"/>
          <w:color w:val="000000"/>
          <w:spacing w:val="0"/>
          <w:sz w:val="32"/>
          <w:highlight w:val="none"/>
          <w:u w:val="none"/>
          <w:lang w:val="en-US" w:eastAsia="zh-CN"/>
        </w:rPr>
        <w:t>六</w:t>
      </w:r>
      <w:r>
        <w:rPr>
          <w:rFonts w:ascii="黑体" w:hAnsi="黑体" w:eastAsia="黑体" w:cs="黑体"/>
          <w:i w:val="0"/>
          <w:strike w:val="0"/>
          <w:color w:val="000000"/>
          <w:spacing w:val="0"/>
          <w:sz w:val="32"/>
          <w:highlight w:val="none"/>
          <w:u w:val="none"/>
        </w:rPr>
        <w:t>、创新宣传引导，凝聚社会共识</w:t>
      </w:r>
      <w:bookmarkEnd w:id="134"/>
      <w:bookmarkEnd w:id="135"/>
    </w:p>
    <w:p w14:paraId="3EC7E3BE">
      <w:pPr>
        <w:pStyle w:val="12"/>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color w:val="000000" w:themeColor="text1"/>
          <w:spacing w:val="0"/>
          <w:sz w:val="32"/>
          <w:szCs w:val="22"/>
          <w:highlight w:val="none"/>
          <w:u w:val="none"/>
          <w14:textFill>
            <w14:solidFill>
              <w14:schemeClr w14:val="tx1"/>
            </w14:solidFill>
          </w14:textFill>
        </w:rPr>
      </w:pPr>
      <w:r>
        <w:rPr>
          <w:rFonts w:ascii="Times New Roman" w:hAnsi="Times New Roman" w:eastAsia="仿宋_GB2312" w:cs="Times New Roman"/>
          <w:color w:val="auto"/>
          <w:kern w:val="2"/>
          <w:sz w:val="32"/>
          <w:szCs w:val="32"/>
          <w:u w:val="none"/>
          <w:lang w:val="en-US" w:eastAsia="zh-CN" w:bidi="ar-SA"/>
        </w:rPr>
        <w:t>构建全媒体宣传矩阵，系统宣传民政政策举措与惠民成果，持续讲好宝安民政故事。依托“智慧民政”</w:t>
      </w:r>
      <w:r>
        <w:rPr>
          <w:rFonts w:hint="eastAsia" w:ascii="Times New Roman" w:hAnsi="Times New Roman" w:cs="Times New Roman"/>
          <w:color w:val="auto"/>
          <w:kern w:val="2"/>
          <w:sz w:val="32"/>
          <w:szCs w:val="32"/>
          <w:u w:val="none"/>
          <w:lang w:val="en-US" w:eastAsia="zh-CN" w:bidi="ar-SA"/>
        </w:rPr>
        <w:t>等</w:t>
      </w:r>
      <w:r>
        <w:rPr>
          <w:rFonts w:ascii="Times New Roman" w:hAnsi="Times New Roman" w:eastAsia="仿宋_GB2312" w:cs="Times New Roman"/>
          <w:color w:val="auto"/>
          <w:kern w:val="2"/>
          <w:sz w:val="32"/>
          <w:szCs w:val="32"/>
          <w:u w:val="none"/>
          <w:lang w:val="en-US" w:eastAsia="zh-CN" w:bidi="ar-SA"/>
        </w:rPr>
        <w:t>信息平台，及时发布惠民政策和项目进展，提升政务公开水平与公众参与度。开展“民生服务进社区”</w:t>
      </w:r>
      <w:r>
        <w:rPr>
          <w:rFonts w:hint="eastAsia" w:ascii="Times New Roman" w:hAnsi="Times New Roman" w:cs="Times New Roman"/>
          <w:color w:val="auto"/>
          <w:kern w:val="2"/>
          <w:sz w:val="32"/>
          <w:szCs w:val="32"/>
          <w:u w:val="none"/>
          <w:lang w:val="en-US" w:eastAsia="zh-CN" w:bidi="ar-SA"/>
        </w:rPr>
        <w:t xml:space="preserve"> </w:t>
      </w:r>
      <w:r>
        <w:rPr>
          <w:rFonts w:ascii="Times New Roman" w:hAnsi="Times New Roman" w:eastAsia="仿宋_GB2312" w:cs="Times New Roman"/>
          <w:color w:val="auto"/>
          <w:kern w:val="2"/>
          <w:sz w:val="32"/>
          <w:szCs w:val="32"/>
          <w:u w:val="none"/>
          <w:lang w:val="en-US" w:eastAsia="zh-CN" w:bidi="ar-SA"/>
        </w:rPr>
        <w:t>“规划开放日”等互动活动，拓宽群众参与和表达渠道。针对老年人、残障人士等群体实施分众化传播策略，推动“服务即宣传”模式创新，提升政策精准触达和有效响应能力。围绕重点工作与典型经验，统筹传统媒体与新媒体资源开展高频宣传，广泛收集社情民意并纳入决策闭环，不断提升民政工作的社会知晓率、支持率和参与度，积极营造共建共治共享的良好发展氛围。</w:t>
      </w:r>
    </w:p>
    <w:sectPr>
      <w:footerReference r:id="rId8" w:type="default"/>
      <w:pgSz w:w="11906" w:h="16838"/>
      <w:pgMar w:top="2098" w:right="1474" w:bottom="1984" w:left="1587"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8540">
    <w:pPr>
      <w:pStyle w:val="12"/>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5A9F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49A61">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8AE7">
    <w:pPr>
      <w:pStyle w:val="12"/>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0000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B9CFCD">
                          <w:pPr>
                            <w:pStyle w:val="12"/>
                            <w:tabs>
                              <w:tab w:val="clear" w:pos="4153"/>
                              <w:tab w:val="clear" w:pos="8306"/>
                            </w:tabs>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t xml:space="preserve"> —</w:t>
                          </w:r>
                        </w:p>
                        <w:p w14:paraId="790202B3"/>
                      </w:txbxContent>
                    </wps:txbx>
                    <wps:bodyPr wrap="none" lIns="0" tIns="0" rIns="0" bIns="0" upright="1">
                      <a:spAutoFit/>
                    </wps:bodyPr>
                  </wps:wsp>
                </a:graphicData>
              </a:graphic>
            </wp:anchor>
          </w:drawing>
        </mc:Choice>
        <mc:Fallback>
          <w:pict>
            <v:shape id="00002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9&#10;5fzatwEAAJQDAAAOAAAAAAAAAAEAIAAAAB4BAABkcnMvZTJvRG9jLnhtbFBLBQYAAAAABgAGAFkB&#10;AABHBQAAAAA=&#10;">
              <v:fill on="f" focussize="0,0"/>
              <v:stroke on="f"/>
              <v:imagedata o:title=""/>
              <o:lock v:ext="edit" aspectratio="f"/>
              <v:textbox inset="0mm,0mm,0mm,0mm" style="mso-fit-shape-to-text:t;">
                <w:txbxContent>
                  <w:p w14:paraId="45B9CFCD">
                    <w:pPr>
                      <w:pStyle w:val="12"/>
                      <w:tabs>
                        <w:tab w:val="clear" w:pos="4153"/>
                        <w:tab w:val="clear" w:pos="8306"/>
                      </w:tabs>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t xml:space="preserve"> —</w:t>
                    </w:r>
                  </w:p>
                  <w:p w14:paraId="790202B3"/>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01A5ADC">
      <w:pPr>
        <w:pStyle w:val="15"/>
        <w:snapToGrid w:val="0"/>
      </w:pPr>
      <w:r>
        <w:rPr>
          <w:rStyle w:val="24"/>
        </w:rPr>
        <w:footnoteRef/>
      </w:r>
      <w:r>
        <w:t xml:space="preserve"> </w:t>
      </w:r>
      <w:r>
        <w:rPr>
          <w:rFonts w:hint="eastAsia" w:ascii="宋体" w:hAnsi="宋体" w:cs="宋体"/>
          <w:lang w:eastAsia="zh-CN"/>
        </w:rPr>
        <w:t>老龄化：当一个国家或地区60岁以上老年人口占人口总数的10%，或65岁以上老年人口占人口总数的7%，即意味着这个国家或地区的人口处于老龄化社会。</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08D68">
    <w:pPr>
      <w:pStyle w:val="13"/>
      <w:pBdr>
        <w:bottom w:val="none" w:color="000000" w:sz="0" w:space="1"/>
      </w:pBdr>
      <w:tabs>
        <w:tab w:val="clear" w:pos="4153"/>
        <w:tab w:val="clear" w:pos="8306"/>
      </w:tabs>
      <w:jc w:val="right"/>
      <w:rPr>
        <w:color w:val="000000"/>
        <w:sz w:val="28"/>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footnotePr>
    <w:footnote w:id="2"/>
    <w:footnote w:id="3"/>
  </w:footnotePr>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3908"/>
    <w:rsid w:val="00321EF3"/>
    <w:rsid w:val="003A4F32"/>
    <w:rsid w:val="004F73D5"/>
    <w:rsid w:val="005A3CA5"/>
    <w:rsid w:val="006817F6"/>
    <w:rsid w:val="00851DC7"/>
    <w:rsid w:val="00885F8D"/>
    <w:rsid w:val="008B5614"/>
    <w:rsid w:val="00905094"/>
    <w:rsid w:val="009B5E71"/>
    <w:rsid w:val="00A6499D"/>
    <w:rsid w:val="00D5158C"/>
    <w:rsid w:val="011D6B45"/>
    <w:rsid w:val="012422CA"/>
    <w:rsid w:val="01453A14"/>
    <w:rsid w:val="01896B19"/>
    <w:rsid w:val="01AA4BCF"/>
    <w:rsid w:val="01B87AB2"/>
    <w:rsid w:val="01D83FD8"/>
    <w:rsid w:val="01DB6127"/>
    <w:rsid w:val="01F243F5"/>
    <w:rsid w:val="01F42C24"/>
    <w:rsid w:val="020E02AA"/>
    <w:rsid w:val="022C097F"/>
    <w:rsid w:val="02301521"/>
    <w:rsid w:val="02317AF5"/>
    <w:rsid w:val="02434A10"/>
    <w:rsid w:val="02924A37"/>
    <w:rsid w:val="02985DC6"/>
    <w:rsid w:val="02B55B31"/>
    <w:rsid w:val="02BC3862"/>
    <w:rsid w:val="02C24DC5"/>
    <w:rsid w:val="02C73EFE"/>
    <w:rsid w:val="02D8252E"/>
    <w:rsid w:val="02DA63DE"/>
    <w:rsid w:val="02E90424"/>
    <w:rsid w:val="031C0AC9"/>
    <w:rsid w:val="03233107"/>
    <w:rsid w:val="033930D8"/>
    <w:rsid w:val="035306AB"/>
    <w:rsid w:val="035D3297"/>
    <w:rsid w:val="0385634A"/>
    <w:rsid w:val="03B31109"/>
    <w:rsid w:val="03B409DD"/>
    <w:rsid w:val="03B60D93"/>
    <w:rsid w:val="03DE12FB"/>
    <w:rsid w:val="03E92A5F"/>
    <w:rsid w:val="040535F3"/>
    <w:rsid w:val="04104A27"/>
    <w:rsid w:val="041A146A"/>
    <w:rsid w:val="041B1A3F"/>
    <w:rsid w:val="042A5AF7"/>
    <w:rsid w:val="043606AA"/>
    <w:rsid w:val="04433DAE"/>
    <w:rsid w:val="0449115C"/>
    <w:rsid w:val="04493917"/>
    <w:rsid w:val="0466617C"/>
    <w:rsid w:val="04AB1DE0"/>
    <w:rsid w:val="04AC6FA4"/>
    <w:rsid w:val="04B862AB"/>
    <w:rsid w:val="04BF47EE"/>
    <w:rsid w:val="04C86263"/>
    <w:rsid w:val="04CB5FDF"/>
    <w:rsid w:val="04CE7DAF"/>
    <w:rsid w:val="04F83880"/>
    <w:rsid w:val="05290F57"/>
    <w:rsid w:val="054A1A86"/>
    <w:rsid w:val="0571055A"/>
    <w:rsid w:val="0584106D"/>
    <w:rsid w:val="059504AF"/>
    <w:rsid w:val="05962A91"/>
    <w:rsid w:val="05B93485"/>
    <w:rsid w:val="05C1766B"/>
    <w:rsid w:val="05C84C14"/>
    <w:rsid w:val="05DD246D"/>
    <w:rsid w:val="05F513F7"/>
    <w:rsid w:val="05FD48BE"/>
    <w:rsid w:val="0600615C"/>
    <w:rsid w:val="061217E9"/>
    <w:rsid w:val="0623583C"/>
    <w:rsid w:val="064222D0"/>
    <w:rsid w:val="06450013"/>
    <w:rsid w:val="064A4289"/>
    <w:rsid w:val="0662564C"/>
    <w:rsid w:val="067D3568"/>
    <w:rsid w:val="069864CC"/>
    <w:rsid w:val="06986941"/>
    <w:rsid w:val="06A002FD"/>
    <w:rsid w:val="06B86A37"/>
    <w:rsid w:val="06BF1B73"/>
    <w:rsid w:val="06BF6017"/>
    <w:rsid w:val="06C3796E"/>
    <w:rsid w:val="06C50397"/>
    <w:rsid w:val="06DA075B"/>
    <w:rsid w:val="06E92E40"/>
    <w:rsid w:val="06EE1CA5"/>
    <w:rsid w:val="06EE2458"/>
    <w:rsid w:val="06F04422"/>
    <w:rsid w:val="0700028A"/>
    <w:rsid w:val="07226844"/>
    <w:rsid w:val="07375F77"/>
    <w:rsid w:val="073B00F6"/>
    <w:rsid w:val="073F3E52"/>
    <w:rsid w:val="078A7459"/>
    <w:rsid w:val="079B3106"/>
    <w:rsid w:val="07AD418F"/>
    <w:rsid w:val="07B85AE9"/>
    <w:rsid w:val="07BB1AF8"/>
    <w:rsid w:val="07CA4380"/>
    <w:rsid w:val="07D370EE"/>
    <w:rsid w:val="0802172A"/>
    <w:rsid w:val="08061E83"/>
    <w:rsid w:val="080C0FE9"/>
    <w:rsid w:val="08145833"/>
    <w:rsid w:val="08167EB9"/>
    <w:rsid w:val="083B0953"/>
    <w:rsid w:val="08817DDB"/>
    <w:rsid w:val="0882009B"/>
    <w:rsid w:val="08975AD1"/>
    <w:rsid w:val="08B56271"/>
    <w:rsid w:val="08CC67C9"/>
    <w:rsid w:val="08D21F53"/>
    <w:rsid w:val="08D36845"/>
    <w:rsid w:val="08EA137C"/>
    <w:rsid w:val="08FE4543"/>
    <w:rsid w:val="09505564"/>
    <w:rsid w:val="09530A26"/>
    <w:rsid w:val="0962248A"/>
    <w:rsid w:val="09827358"/>
    <w:rsid w:val="098C3B47"/>
    <w:rsid w:val="09A11A04"/>
    <w:rsid w:val="09BC7B2A"/>
    <w:rsid w:val="09BF31B7"/>
    <w:rsid w:val="09CC56DC"/>
    <w:rsid w:val="09D00151"/>
    <w:rsid w:val="09DB35D7"/>
    <w:rsid w:val="09E55D95"/>
    <w:rsid w:val="09E87633"/>
    <w:rsid w:val="0A1026E6"/>
    <w:rsid w:val="0A225A4B"/>
    <w:rsid w:val="0A264B9C"/>
    <w:rsid w:val="0A285D18"/>
    <w:rsid w:val="0A342B67"/>
    <w:rsid w:val="0A365DF5"/>
    <w:rsid w:val="0A593F23"/>
    <w:rsid w:val="0A5A7B4B"/>
    <w:rsid w:val="0A87232C"/>
    <w:rsid w:val="0A9A4CB2"/>
    <w:rsid w:val="0AB155F2"/>
    <w:rsid w:val="0AD02CD3"/>
    <w:rsid w:val="0AD42521"/>
    <w:rsid w:val="0ADF4592"/>
    <w:rsid w:val="0AED2C3C"/>
    <w:rsid w:val="0AF8308E"/>
    <w:rsid w:val="0B0B182B"/>
    <w:rsid w:val="0B0E30C9"/>
    <w:rsid w:val="0B520B0D"/>
    <w:rsid w:val="0B612388"/>
    <w:rsid w:val="0B8F75C4"/>
    <w:rsid w:val="0B926066"/>
    <w:rsid w:val="0B927BA2"/>
    <w:rsid w:val="0BA04490"/>
    <w:rsid w:val="0BB208A9"/>
    <w:rsid w:val="0BB83760"/>
    <w:rsid w:val="0BBF224A"/>
    <w:rsid w:val="0BDC0CB8"/>
    <w:rsid w:val="0BEC2E51"/>
    <w:rsid w:val="0BFA53FB"/>
    <w:rsid w:val="0BFE313E"/>
    <w:rsid w:val="0C027923"/>
    <w:rsid w:val="0C0F3B47"/>
    <w:rsid w:val="0C2F3131"/>
    <w:rsid w:val="0C2F779B"/>
    <w:rsid w:val="0C580AA0"/>
    <w:rsid w:val="0C5C177D"/>
    <w:rsid w:val="0C5C35DE"/>
    <w:rsid w:val="0C76701F"/>
    <w:rsid w:val="0C7852A5"/>
    <w:rsid w:val="0C790185"/>
    <w:rsid w:val="0C7C502D"/>
    <w:rsid w:val="0C7D4058"/>
    <w:rsid w:val="0C944D21"/>
    <w:rsid w:val="0CA041F5"/>
    <w:rsid w:val="0CA27F6D"/>
    <w:rsid w:val="0CA4718D"/>
    <w:rsid w:val="0CB641E8"/>
    <w:rsid w:val="0CBB3049"/>
    <w:rsid w:val="0CBD0903"/>
    <w:rsid w:val="0CCE0D62"/>
    <w:rsid w:val="0CD6715B"/>
    <w:rsid w:val="0CD8050E"/>
    <w:rsid w:val="0CDE3C71"/>
    <w:rsid w:val="0CEC3B1B"/>
    <w:rsid w:val="0CF32131"/>
    <w:rsid w:val="0D0C02C0"/>
    <w:rsid w:val="0D135E71"/>
    <w:rsid w:val="0D416E24"/>
    <w:rsid w:val="0D5D719B"/>
    <w:rsid w:val="0D65587A"/>
    <w:rsid w:val="0D8439D4"/>
    <w:rsid w:val="0D9965CC"/>
    <w:rsid w:val="0DDA6377"/>
    <w:rsid w:val="0DE13CE3"/>
    <w:rsid w:val="0DF540CC"/>
    <w:rsid w:val="0DF601EB"/>
    <w:rsid w:val="0DFE22CC"/>
    <w:rsid w:val="0E064EAE"/>
    <w:rsid w:val="0E2A13FA"/>
    <w:rsid w:val="0E2B5D40"/>
    <w:rsid w:val="0E4722F0"/>
    <w:rsid w:val="0E565C0E"/>
    <w:rsid w:val="0E581951"/>
    <w:rsid w:val="0E603C3C"/>
    <w:rsid w:val="0E985899"/>
    <w:rsid w:val="0EA518FD"/>
    <w:rsid w:val="0EB5117C"/>
    <w:rsid w:val="0EBD108E"/>
    <w:rsid w:val="0ED21969"/>
    <w:rsid w:val="0F0312ED"/>
    <w:rsid w:val="0F066F4C"/>
    <w:rsid w:val="0F0F11BE"/>
    <w:rsid w:val="0F187EB0"/>
    <w:rsid w:val="0F2049D9"/>
    <w:rsid w:val="0F2C4152"/>
    <w:rsid w:val="0F602ADE"/>
    <w:rsid w:val="0F745970"/>
    <w:rsid w:val="0F7C0340"/>
    <w:rsid w:val="0F7F416C"/>
    <w:rsid w:val="0FBA381F"/>
    <w:rsid w:val="0FDA17CC"/>
    <w:rsid w:val="0FF245EB"/>
    <w:rsid w:val="0FF705D0"/>
    <w:rsid w:val="0FFF1232"/>
    <w:rsid w:val="102E38C6"/>
    <w:rsid w:val="10374E70"/>
    <w:rsid w:val="10932B07"/>
    <w:rsid w:val="10D93EBF"/>
    <w:rsid w:val="10EA5A3E"/>
    <w:rsid w:val="10ED552F"/>
    <w:rsid w:val="10EF2478"/>
    <w:rsid w:val="11145782"/>
    <w:rsid w:val="11262595"/>
    <w:rsid w:val="11476F25"/>
    <w:rsid w:val="115047FA"/>
    <w:rsid w:val="116D4627"/>
    <w:rsid w:val="11867E5D"/>
    <w:rsid w:val="119B4F8B"/>
    <w:rsid w:val="12046FD4"/>
    <w:rsid w:val="12064AFA"/>
    <w:rsid w:val="121277D8"/>
    <w:rsid w:val="123C676E"/>
    <w:rsid w:val="125910CE"/>
    <w:rsid w:val="125E7BB8"/>
    <w:rsid w:val="12681311"/>
    <w:rsid w:val="127C4DBC"/>
    <w:rsid w:val="128017F6"/>
    <w:rsid w:val="12897A26"/>
    <w:rsid w:val="12975631"/>
    <w:rsid w:val="12A7719E"/>
    <w:rsid w:val="12A87B78"/>
    <w:rsid w:val="12AB56A1"/>
    <w:rsid w:val="12B55DD1"/>
    <w:rsid w:val="12BF08FB"/>
    <w:rsid w:val="12C964FF"/>
    <w:rsid w:val="131D034D"/>
    <w:rsid w:val="13261303"/>
    <w:rsid w:val="1333625E"/>
    <w:rsid w:val="133631BD"/>
    <w:rsid w:val="13450783"/>
    <w:rsid w:val="13484B32"/>
    <w:rsid w:val="13692DB7"/>
    <w:rsid w:val="137C08E3"/>
    <w:rsid w:val="137F52E4"/>
    <w:rsid w:val="138629B2"/>
    <w:rsid w:val="138F28CD"/>
    <w:rsid w:val="13900351"/>
    <w:rsid w:val="13AA70E5"/>
    <w:rsid w:val="13B9668C"/>
    <w:rsid w:val="13C0517C"/>
    <w:rsid w:val="13D724A0"/>
    <w:rsid w:val="13FF4804"/>
    <w:rsid w:val="13FF5CA5"/>
    <w:rsid w:val="14265083"/>
    <w:rsid w:val="144409B4"/>
    <w:rsid w:val="14486816"/>
    <w:rsid w:val="147C10A3"/>
    <w:rsid w:val="14940F57"/>
    <w:rsid w:val="14A168E7"/>
    <w:rsid w:val="14B9773F"/>
    <w:rsid w:val="14C71CDA"/>
    <w:rsid w:val="14EF35D5"/>
    <w:rsid w:val="150572EB"/>
    <w:rsid w:val="151232BF"/>
    <w:rsid w:val="1530280A"/>
    <w:rsid w:val="15457BED"/>
    <w:rsid w:val="154C60E2"/>
    <w:rsid w:val="15632263"/>
    <w:rsid w:val="156404B5"/>
    <w:rsid w:val="156D1AE6"/>
    <w:rsid w:val="157B7247"/>
    <w:rsid w:val="158A0BB9"/>
    <w:rsid w:val="1594513C"/>
    <w:rsid w:val="15A05265"/>
    <w:rsid w:val="15A4287A"/>
    <w:rsid w:val="15B55C69"/>
    <w:rsid w:val="15B66837"/>
    <w:rsid w:val="15D1043A"/>
    <w:rsid w:val="15D30190"/>
    <w:rsid w:val="15D5352E"/>
    <w:rsid w:val="15EC63A8"/>
    <w:rsid w:val="15F66C34"/>
    <w:rsid w:val="162E581B"/>
    <w:rsid w:val="162E6BAE"/>
    <w:rsid w:val="16391778"/>
    <w:rsid w:val="16485CC6"/>
    <w:rsid w:val="1663445B"/>
    <w:rsid w:val="16653220"/>
    <w:rsid w:val="166852AE"/>
    <w:rsid w:val="16726F3A"/>
    <w:rsid w:val="16804E96"/>
    <w:rsid w:val="1695644C"/>
    <w:rsid w:val="16AA0DF3"/>
    <w:rsid w:val="16EE19E5"/>
    <w:rsid w:val="16F05D79"/>
    <w:rsid w:val="16FA03CB"/>
    <w:rsid w:val="171478E1"/>
    <w:rsid w:val="17180EB0"/>
    <w:rsid w:val="17861371"/>
    <w:rsid w:val="1788408B"/>
    <w:rsid w:val="178B3774"/>
    <w:rsid w:val="179602EB"/>
    <w:rsid w:val="179901BE"/>
    <w:rsid w:val="179F3E99"/>
    <w:rsid w:val="17B2437D"/>
    <w:rsid w:val="17C032F8"/>
    <w:rsid w:val="17C83F7C"/>
    <w:rsid w:val="17C92852"/>
    <w:rsid w:val="17D054B0"/>
    <w:rsid w:val="17D64F6F"/>
    <w:rsid w:val="17F953D1"/>
    <w:rsid w:val="18025ECC"/>
    <w:rsid w:val="18133ACD"/>
    <w:rsid w:val="181428A5"/>
    <w:rsid w:val="18293A23"/>
    <w:rsid w:val="182D5F3D"/>
    <w:rsid w:val="18310E9B"/>
    <w:rsid w:val="185D40D7"/>
    <w:rsid w:val="187F3B68"/>
    <w:rsid w:val="18890233"/>
    <w:rsid w:val="18D6212A"/>
    <w:rsid w:val="18DD222C"/>
    <w:rsid w:val="18DE5A7A"/>
    <w:rsid w:val="18ED2570"/>
    <w:rsid w:val="19017DC9"/>
    <w:rsid w:val="195B035F"/>
    <w:rsid w:val="19630A84"/>
    <w:rsid w:val="19742C91"/>
    <w:rsid w:val="1975242D"/>
    <w:rsid w:val="19876FCE"/>
    <w:rsid w:val="198771E8"/>
    <w:rsid w:val="19B612B6"/>
    <w:rsid w:val="19BC47E2"/>
    <w:rsid w:val="19C7261B"/>
    <w:rsid w:val="19EB584A"/>
    <w:rsid w:val="1A1363F8"/>
    <w:rsid w:val="1A203255"/>
    <w:rsid w:val="1A284401"/>
    <w:rsid w:val="1A293A7B"/>
    <w:rsid w:val="1A3E6F6D"/>
    <w:rsid w:val="1A571CAA"/>
    <w:rsid w:val="1A700A12"/>
    <w:rsid w:val="1A74631B"/>
    <w:rsid w:val="1A882AFB"/>
    <w:rsid w:val="1ABD4860"/>
    <w:rsid w:val="1ABE5CF0"/>
    <w:rsid w:val="1ACC4407"/>
    <w:rsid w:val="1AD4263E"/>
    <w:rsid w:val="1AE766FE"/>
    <w:rsid w:val="1B1E1106"/>
    <w:rsid w:val="1B374A34"/>
    <w:rsid w:val="1B3D6C86"/>
    <w:rsid w:val="1B454430"/>
    <w:rsid w:val="1B513316"/>
    <w:rsid w:val="1B636B19"/>
    <w:rsid w:val="1B722C0B"/>
    <w:rsid w:val="1BBE6841"/>
    <w:rsid w:val="1BCC0B62"/>
    <w:rsid w:val="1BE36B65"/>
    <w:rsid w:val="1BE50DA4"/>
    <w:rsid w:val="1C1442B7"/>
    <w:rsid w:val="1C2F4C4D"/>
    <w:rsid w:val="1C39699F"/>
    <w:rsid w:val="1C3A43DB"/>
    <w:rsid w:val="1C553AF3"/>
    <w:rsid w:val="1C610F54"/>
    <w:rsid w:val="1C785180"/>
    <w:rsid w:val="1C975914"/>
    <w:rsid w:val="1CB97944"/>
    <w:rsid w:val="1CC935AA"/>
    <w:rsid w:val="1CCB7D67"/>
    <w:rsid w:val="1CD64FCE"/>
    <w:rsid w:val="1CF21731"/>
    <w:rsid w:val="1D231C99"/>
    <w:rsid w:val="1D506E6A"/>
    <w:rsid w:val="1D762F10"/>
    <w:rsid w:val="1D782DAA"/>
    <w:rsid w:val="1D812873"/>
    <w:rsid w:val="1D9456B0"/>
    <w:rsid w:val="1D9D16A1"/>
    <w:rsid w:val="1DA2671F"/>
    <w:rsid w:val="1DB913DB"/>
    <w:rsid w:val="1DB961F1"/>
    <w:rsid w:val="1DC176D7"/>
    <w:rsid w:val="1DC64F38"/>
    <w:rsid w:val="1DE32D86"/>
    <w:rsid w:val="1E2F2C87"/>
    <w:rsid w:val="1E3E26CB"/>
    <w:rsid w:val="1E545629"/>
    <w:rsid w:val="1E551DC9"/>
    <w:rsid w:val="1E62130A"/>
    <w:rsid w:val="1E803E86"/>
    <w:rsid w:val="1E8B4C6A"/>
    <w:rsid w:val="1E9D13BE"/>
    <w:rsid w:val="1EC75611"/>
    <w:rsid w:val="1EEA2C5C"/>
    <w:rsid w:val="1F1A7E37"/>
    <w:rsid w:val="1F1C1B6A"/>
    <w:rsid w:val="1F3103E0"/>
    <w:rsid w:val="1F5154E0"/>
    <w:rsid w:val="1F550E6F"/>
    <w:rsid w:val="1F575DE3"/>
    <w:rsid w:val="1F80692A"/>
    <w:rsid w:val="1F8B19CE"/>
    <w:rsid w:val="1F9279CD"/>
    <w:rsid w:val="1F9F3F6D"/>
    <w:rsid w:val="1FAD696C"/>
    <w:rsid w:val="1FF02946"/>
    <w:rsid w:val="1FF163E5"/>
    <w:rsid w:val="200A3A07"/>
    <w:rsid w:val="20136413"/>
    <w:rsid w:val="20431C33"/>
    <w:rsid w:val="2064732B"/>
    <w:rsid w:val="206F41B2"/>
    <w:rsid w:val="208B2D23"/>
    <w:rsid w:val="208D08C0"/>
    <w:rsid w:val="20B70201"/>
    <w:rsid w:val="20C64440"/>
    <w:rsid w:val="20D56F83"/>
    <w:rsid w:val="20EC75B1"/>
    <w:rsid w:val="21030097"/>
    <w:rsid w:val="21436EFA"/>
    <w:rsid w:val="216965F7"/>
    <w:rsid w:val="2197401B"/>
    <w:rsid w:val="21AC26F0"/>
    <w:rsid w:val="21B32189"/>
    <w:rsid w:val="21B634AE"/>
    <w:rsid w:val="21E275D4"/>
    <w:rsid w:val="21F203AD"/>
    <w:rsid w:val="22280ABD"/>
    <w:rsid w:val="22581CF2"/>
    <w:rsid w:val="225D61BE"/>
    <w:rsid w:val="22602004"/>
    <w:rsid w:val="226A23B1"/>
    <w:rsid w:val="227F6D14"/>
    <w:rsid w:val="22970985"/>
    <w:rsid w:val="229A6DE9"/>
    <w:rsid w:val="229B4DEB"/>
    <w:rsid w:val="22AA457C"/>
    <w:rsid w:val="22C75E1C"/>
    <w:rsid w:val="22EC0514"/>
    <w:rsid w:val="230A5F7B"/>
    <w:rsid w:val="23235127"/>
    <w:rsid w:val="2342654E"/>
    <w:rsid w:val="2351095F"/>
    <w:rsid w:val="23694EE9"/>
    <w:rsid w:val="23743318"/>
    <w:rsid w:val="23764AF4"/>
    <w:rsid w:val="23827476"/>
    <w:rsid w:val="23974395"/>
    <w:rsid w:val="23D116E2"/>
    <w:rsid w:val="23E1632F"/>
    <w:rsid w:val="23E374FF"/>
    <w:rsid w:val="23E6212B"/>
    <w:rsid w:val="24211BB6"/>
    <w:rsid w:val="2426102C"/>
    <w:rsid w:val="243F0CE7"/>
    <w:rsid w:val="24430826"/>
    <w:rsid w:val="244337D9"/>
    <w:rsid w:val="246833F2"/>
    <w:rsid w:val="246F5468"/>
    <w:rsid w:val="24730BCB"/>
    <w:rsid w:val="249F4E1D"/>
    <w:rsid w:val="24A3442A"/>
    <w:rsid w:val="24CD14A7"/>
    <w:rsid w:val="24FD7FDE"/>
    <w:rsid w:val="250145FB"/>
    <w:rsid w:val="250263BF"/>
    <w:rsid w:val="250462F2"/>
    <w:rsid w:val="25540AF3"/>
    <w:rsid w:val="257D111F"/>
    <w:rsid w:val="25B318F4"/>
    <w:rsid w:val="25B80E7F"/>
    <w:rsid w:val="25BC6295"/>
    <w:rsid w:val="25BF5294"/>
    <w:rsid w:val="25D052F7"/>
    <w:rsid w:val="25EB6089"/>
    <w:rsid w:val="262E4AD8"/>
    <w:rsid w:val="26414073"/>
    <w:rsid w:val="26810D4C"/>
    <w:rsid w:val="26906C30"/>
    <w:rsid w:val="26B97F35"/>
    <w:rsid w:val="26C62FC2"/>
    <w:rsid w:val="26CD578F"/>
    <w:rsid w:val="26DE174A"/>
    <w:rsid w:val="26E804F0"/>
    <w:rsid w:val="26E825C8"/>
    <w:rsid w:val="26EC030B"/>
    <w:rsid w:val="26ED7BDF"/>
    <w:rsid w:val="27225405"/>
    <w:rsid w:val="273D3275"/>
    <w:rsid w:val="274104B7"/>
    <w:rsid w:val="27547890"/>
    <w:rsid w:val="27DF1C1D"/>
    <w:rsid w:val="28003EE5"/>
    <w:rsid w:val="28186EDD"/>
    <w:rsid w:val="281D44F4"/>
    <w:rsid w:val="28213FE4"/>
    <w:rsid w:val="28557DC7"/>
    <w:rsid w:val="285F68BA"/>
    <w:rsid w:val="286046D9"/>
    <w:rsid w:val="28657301"/>
    <w:rsid w:val="286E6AFD"/>
    <w:rsid w:val="28A70580"/>
    <w:rsid w:val="28AC5D49"/>
    <w:rsid w:val="28B418F3"/>
    <w:rsid w:val="28C76763"/>
    <w:rsid w:val="28C8047C"/>
    <w:rsid w:val="28E72F0D"/>
    <w:rsid w:val="28E76365"/>
    <w:rsid w:val="29191FC1"/>
    <w:rsid w:val="29263F95"/>
    <w:rsid w:val="294D5FEE"/>
    <w:rsid w:val="29616764"/>
    <w:rsid w:val="2975380D"/>
    <w:rsid w:val="297F70FC"/>
    <w:rsid w:val="298D5F67"/>
    <w:rsid w:val="29916C1B"/>
    <w:rsid w:val="29C5057D"/>
    <w:rsid w:val="29D37560"/>
    <w:rsid w:val="29DD49DB"/>
    <w:rsid w:val="29EB2AFB"/>
    <w:rsid w:val="2A087AFB"/>
    <w:rsid w:val="2A0C4D35"/>
    <w:rsid w:val="2A1931AE"/>
    <w:rsid w:val="2A302AEF"/>
    <w:rsid w:val="2A5C628C"/>
    <w:rsid w:val="2A6401B8"/>
    <w:rsid w:val="2A6D4DC3"/>
    <w:rsid w:val="2AA853C6"/>
    <w:rsid w:val="2ABC4C43"/>
    <w:rsid w:val="2AC82E3D"/>
    <w:rsid w:val="2AE42751"/>
    <w:rsid w:val="2AEC50EA"/>
    <w:rsid w:val="2AF754D0"/>
    <w:rsid w:val="2AF775F0"/>
    <w:rsid w:val="2AFA50E7"/>
    <w:rsid w:val="2B1702B0"/>
    <w:rsid w:val="2B343F05"/>
    <w:rsid w:val="2B4B67F7"/>
    <w:rsid w:val="2B773EAA"/>
    <w:rsid w:val="2B9D7EFD"/>
    <w:rsid w:val="2B9F23B4"/>
    <w:rsid w:val="2BA27DCC"/>
    <w:rsid w:val="2BAD5B8F"/>
    <w:rsid w:val="2BB06716"/>
    <w:rsid w:val="2BC84451"/>
    <w:rsid w:val="2BCA4992"/>
    <w:rsid w:val="2BD9744F"/>
    <w:rsid w:val="2BDB26FC"/>
    <w:rsid w:val="2BEF1E49"/>
    <w:rsid w:val="2C2A7F9E"/>
    <w:rsid w:val="2C533623"/>
    <w:rsid w:val="2C874978"/>
    <w:rsid w:val="2C924583"/>
    <w:rsid w:val="2C92725E"/>
    <w:rsid w:val="2CB74F17"/>
    <w:rsid w:val="2CBC390B"/>
    <w:rsid w:val="2CBE5D0E"/>
    <w:rsid w:val="2CC1728C"/>
    <w:rsid w:val="2CCD0296"/>
    <w:rsid w:val="2CEB3275"/>
    <w:rsid w:val="2CF33142"/>
    <w:rsid w:val="2D0F08AF"/>
    <w:rsid w:val="2D450775"/>
    <w:rsid w:val="2D597D7C"/>
    <w:rsid w:val="2D7C3A6A"/>
    <w:rsid w:val="2D872B3B"/>
    <w:rsid w:val="2DCF1479"/>
    <w:rsid w:val="2DED5AB0"/>
    <w:rsid w:val="2E0917A2"/>
    <w:rsid w:val="2E0C5E9C"/>
    <w:rsid w:val="2E1F5554"/>
    <w:rsid w:val="2E21674A"/>
    <w:rsid w:val="2E3134D6"/>
    <w:rsid w:val="2E3143CA"/>
    <w:rsid w:val="2E35154B"/>
    <w:rsid w:val="2E544B59"/>
    <w:rsid w:val="2E692649"/>
    <w:rsid w:val="2E97542F"/>
    <w:rsid w:val="2EAA4211"/>
    <w:rsid w:val="2EE93382"/>
    <w:rsid w:val="2EE95130"/>
    <w:rsid w:val="2F0029BF"/>
    <w:rsid w:val="2F13344D"/>
    <w:rsid w:val="2F155F25"/>
    <w:rsid w:val="2F1E74CF"/>
    <w:rsid w:val="2F2D51F3"/>
    <w:rsid w:val="2F6440CA"/>
    <w:rsid w:val="2F644BDE"/>
    <w:rsid w:val="2F854B7D"/>
    <w:rsid w:val="2F8D2B31"/>
    <w:rsid w:val="2F912ACC"/>
    <w:rsid w:val="2FA75C45"/>
    <w:rsid w:val="2FAE6497"/>
    <w:rsid w:val="2FFE5FA5"/>
    <w:rsid w:val="300541EB"/>
    <w:rsid w:val="302010F1"/>
    <w:rsid w:val="30231051"/>
    <w:rsid w:val="302B2C09"/>
    <w:rsid w:val="303F76FD"/>
    <w:rsid w:val="304E2C57"/>
    <w:rsid w:val="305D7B83"/>
    <w:rsid w:val="30B67293"/>
    <w:rsid w:val="30ED53AB"/>
    <w:rsid w:val="30F46056"/>
    <w:rsid w:val="31166A4C"/>
    <w:rsid w:val="311A6DF9"/>
    <w:rsid w:val="311E73FE"/>
    <w:rsid w:val="31544243"/>
    <w:rsid w:val="319475D5"/>
    <w:rsid w:val="319B6B33"/>
    <w:rsid w:val="319F3C0F"/>
    <w:rsid w:val="31CC49B2"/>
    <w:rsid w:val="31CF5207"/>
    <w:rsid w:val="31E3055C"/>
    <w:rsid w:val="32195D2C"/>
    <w:rsid w:val="32463575"/>
    <w:rsid w:val="324C25C4"/>
    <w:rsid w:val="32616DB8"/>
    <w:rsid w:val="32633C7F"/>
    <w:rsid w:val="327F64D7"/>
    <w:rsid w:val="329F7043"/>
    <w:rsid w:val="32A24A38"/>
    <w:rsid w:val="32BF6BF8"/>
    <w:rsid w:val="32D77EB3"/>
    <w:rsid w:val="32DB175F"/>
    <w:rsid w:val="32F1273A"/>
    <w:rsid w:val="330F2B64"/>
    <w:rsid w:val="33254BC2"/>
    <w:rsid w:val="33330208"/>
    <w:rsid w:val="3333739F"/>
    <w:rsid w:val="33351E27"/>
    <w:rsid w:val="33436C23"/>
    <w:rsid w:val="33624427"/>
    <w:rsid w:val="336C5DE8"/>
    <w:rsid w:val="3371251D"/>
    <w:rsid w:val="33A65EB3"/>
    <w:rsid w:val="33BA5444"/>
    <w:rsid w:val="33C148CD"/>
    <w:rsid w:val="33E04D53"/>
    <w:rsid w:val="34285049"/>
    <w:rsid w:val="344838C6"/>
    <w:rsid w:val="34525765"/>
    <w:rsid w:val="345F6D8C"/>
    <w:rsid w:val="346C7CD4"/>
    <w:rsid w:val="34B07F64"/>
    <w:rsid w:val="34C722F5"/>
    <w:rsid w:val="34E66F14"/>
    <w:rsid w:val="350C18A4"/>
    <w:rsid w:val="35320234"/>
    <w:rsid w:val="353E3BED"/>
    <w:rsid w:val="353F4A0B"/>
    <w:rsid w:val="35615684"/>
    <w:rsid w:val="357065AB"/>
    <w:rsid w:val="35967875"/>
    <w:rsid w:val="35CF2D60"/>
    <w:rsid w:val="35EC651F"/>
    <w:rsid w:val="35F42D38"/>
    <w:rsid w:val="36185150"/>
    <w:rsid w:val="362E1A2D"/>
    <w:rsid w:val="36483EA2"/>
    <w:rsid w:val="365B1643"/>
    <w:rsid w:val="365B6B4A"/>
    <w:rsid w:val="36794FEB"/>
    <w:rsid w:val="368A369C"/>
    <w:rsid w:val="36A04C6E"/>
    <w:rsid w:val="36BF3346"/>
    <w:rsid w:val="36D641EB"/>
    <w:rsid w:val="36E20DE2"/>
    <w:rsid w:val="36EA7C97"/>
    <w:rsid w:val="36FA37CF"/>
    <w:rsid w:val="371D7C1F"/>
    <w:rsid w:val="372178D7"/>
    <w:rsid w:val="37264C3C"/>
    <w:rsid w:val="37394064"/>
    <w:rsid w:val="373E7E7C"/>
    <w:rsid w:val="37490E61"/>
    <w:rsid w:val="37732570"/>
    <w:rsid w:val="37856E75"/>
    <w:rsid w:val="37953B5B"/>
    <w:rsid w:val="37955AAE"/>
    <w:rsid w:val="37A03524"/>
    <w:rsid w:val="37BB3CBF"/>
    <w:rsid w:val="37C14E9C"/>
    <w:rsid w:val="37DA7D0B"/>
    <w:rsid w:val="37ED614E"/>
    <w:rsid w:val="37F718E9"/>
    <w:rsid w:val="3802083F"/>
    <w:rsid w:val="38123611"/>
    <w:rsid w:val="381A520E"/>
    <w:rsid w:val="381E32DD"/>
    <w:rsid w:val="384F59F2"/>
    <w:rsid w:val="38651CCB"/>
    <w:rsid w:val="3876575C"/>
    <w:rsid w:val="38782879"/>
    <w:rsid w:val="3895301B"/>
    <w:rsid w:val="389D5EC0"/>
    <w:rsid w:val="38A24AEC"/>
    <w:rsid w:val="38BC48FF"/>
    <w:rsid w:val="38BD52D9"/>
    <w:rsid w:val="38C772AE"/>
    <w:rsid w:val="38CF0D23"/>
    <w:rsid w:val="38F022F8"/>
    <w:rsid w:val="3914549F"/>
    <w:rsid w:val="391D4354"/>
    <w:rsid w:val="392723B8"/>
    <w:rsid w:val="39340333"/>
    <w:rsid w:val="393E4B3A"/>
    <w:rsid w:val="39585A96"/>
    <w:rsid w:val="395A08EE"/>
    <w:rsid w:val="39683E6A"/>
    <w:rsid w:val="39761CB6"/>
    <w:rsid w:val="3985352A"/>
    <w:rsid w:val="398D3E9F"/>
    <w:rsid w:val="39D8513B"/>
    <w:rsid w:val="39E6714F"/>
    <w:rsid w:val="39EA342E"/>
    <w:rsid w:val="39F2758E"/>
    <w:rsid w:val="39F552D0"/>
    <w:rsid w:val="3A17618B"/>
    <w:rsid w:val="3A4E0551"/>
    <w:rsid w:val="3A7605C6"/>
    <w:rsid w:val="3A7849C6"/>
    <w:rsid w:val="3A8E7466"/>
    <w:rsid w:val="3A9E6377"/>
    <w:rsid w:val="3AAE76DD"/>
    <w:rsid w:val="3ABC5499"/>
    <w:rsid w:val="3ACC4283"/>
    <w:rsid w:val="3AD4310F"/>
    <w:rsid w:val="3AD60CE0"/>
    <w:rsid w:val="3AE33CE2"/>
    <w:rsid w:val="3AE92064"/>
    <w:rsid w:val="3AF36B47"/>
    <w:rsid w:val="3AFF92E5"/>
    <w:rsid w:val="3B121C38"/>
    <w:rsid w:val="3B8D2AC4"/>
    <w:rsid w:val="3BB14639"/>
    <w:rsid w:val="3BB30F9F"/>
    <w:rsid w:val="3BB6518A"/>
    <w:rsid w:val="3BB765B7"/>
    <w:rsid w:val="3C0D06AF"/>
    <w:rsid w:val="3C445F3D"/>
    <w:rsid w:val="3C5C083C"/>
    <w:rsid w:val="3C752B33"/>
    <w:rsid w:val="3C85293C"/>
    <w:rsid w:val="3C92295B"/>
    <w:rsid w:val="3C9B118B"/>
    <w:rsid w:val="3C9D0E15"/>
    <w:rsid w:val="3CA74F18"/>
    <w:rsid w:val="3CB0652E"/>
    <w:rsid w:val="3CBC002D"/>
    <w:rsid w:val="3CD04E10"/>
    <w:rsid w:val="3CD261C5"/>
    <w:rsid w:val="3CFA1B03"/>
    <w:rsid w:val="3D066478"/>
    <w:rsid w:val="3D0E0B83"/>
    <w:rsid w:val="3D2B4A7E"/>
    <w:rsid w:val="3D3A4BDE"/>
    <w:rsid w:val="3D503F93"/>
    <w:rsid w:val="3D5863FE"/>
    <w:rsid w:val="3D63117A"/>
    <w:rsid w:val="3DA2500C"/>
    <w:rsid w:val="3DC97323"/>
    <w:rsid w:val="3DD0505D"/>
    <w:rsid w:val="3DEE62BF"/>
    <w:rsid w:val="3DF8713D"/>
    <w:rsid w:val="3DFD1B02"/>
    <w:rsid w:val="3E0C6AFE"/>
    <w:rsid w:val="3E177BDA"/>
    <w:rsid w:val="3E2C4A1C"/>
    <w:rsid w:val="3E3D09DE"/>
    <w:rsid w:val="3E481C53"/>
    <w:rsid w:val="3E560C12"/>
    <w:rsid w:val="3E647289"/>
    <w:rsid w:val="3E946E66"/>
    <w:rsid w:val="3E9606F3"/>
    <w:rsid w:val="3E963AC6"/>
    <w:rsid w:val="3E9E5F37"/>
    <w:rsid w:val="3EC7672F"/>
    <w:rsid w:val="3EF47F62"/>
    <w:rsid w:val="3EF73899"/>
    <w:rsid w:val="3F083A54"/>
    <w:rsid w:val="3F145E9C"/>
    <w:rsid w:val="3F316DAB"/>
    <w:rsid w:val="3F50057E"/>
    <w:rsid w:val="3F5900B0"/>
    <w:rsid w:val="3F6727CC"/>
    <w:rsid w:val="3F6D76B7"/>
    <w:rsid w:val="3F8B29F9"/>
    <w:rsid w:val="3FA0232A"/>
    <w:rsid w:val="3FA16373"/>
    <w:rsid w:val="3FB107CD"/>
    <w:rsid w:val="3FB45515"/>
    <w:rsid w:val="3FCC680A"/>
    <w:rsid w:val="3FCE03DB"/>
    <w:rsid w:val="3FF37C19"/>
    <w:rsid w:val="400B13AA"/>
    <w:rsid w:val="40153FD6"/>
    <w:rsid w:val="401D732F"/>
    <w:rsid w:val="4020520D"/>
    <w:rsid w:val="402F075E"/>
    <w:rsid w:val="403C118C"/>
    <w:rsid w:val="403F7A8D"/>
    <w:rsid w:val="404C7844"/>
    <w:rsid w:val="40547078"/>
    <w:rsid w:val="40621D3A"/>
    <w:rsid w:val="40814698"/>
    <w:rsid w:val="409E016F"/>
    <w:rsid w:val="40B55A4B"/>
    <w:rsid w:val="40D87E0F"/>
    <w:rsid w:val="40F05018"/>
    <w:rsid w:val="40F3712F"/>
    <w:rsid w:val="40F97454"/>
    <w:rsid w:val="41112DF2"/>
    <w:rsid w:val="4113421C"/>
    <w:rsid w:val="411B6C88"/>
    <w:rsid w:val="41381EE1"/>
    <w:rsid w:val="4154008B"/>
    <w:rsid w:val="41847228"/>
    <w:rsid w:val="418A3DA4"/>
    <w:rsid w:val="41A028AC"/>
    <w:rsid w:val="41A25D3E"/>
    <w:rsid w:val="41AC096A"/>
    <w:rsid w:val="41DE70F8"/>
    <w:rsid w:val="41F11FF0"/>
    <w:rsid w:val="41FA176A"/>
    <w:rsid w:val="42062902"/>
    <w:rsid w:val="4239456E"/>
    <w:rsid w:val="425D0C70"/>
    <w:rsid w:val="425F2D4F"/>
    <w:rsid w:val="426D5D1D"/>
    <w:rsid w:val="42956767"/>
    <w:rsid w:val="429B0B55"/>
    <w:rsid w:val="42A359F3"/>
    <w:rsid w:val="42A72EE0"/>
    <w:rsid w:val="42B424FC"/>
    <w:rsid w:val="42F951FB"/>
    <w:rsid w:val="43113688"/>
    <w:rsid w:val="43150AFE"/>
    <w:rsid w:val="43193DDE"/>
    <w:rsid w:val="431E01CA"/>
    <w:rsid w:val="432A1128"/>
    <w:rsid w:val="4348021F"/>
    <w:rsid w:val="434F0F18"/>
    <w:rsid w:val="435B61A4"/>
    <w:rsid w:val="43652BBD"/>
    <w:rsid w:val="436545DD"/>
    <w:rsid w:val="437E5A03"/>
    <w:rsid w:val="43DA6CD7"/>
    <w:rsid w:val="43E6630E"/>
    <w:rsid w:val="43FB155A"/>
    <w:rsid w:val="44166243"/>
    <w:rsid w:val="44452D98"/>
    <w:rsid w:val="4450382F"/>
    <w:rsid w:val="4464528A"/>
    <w:rsid w:val="446724B7"/>
    <w:rsid w:val="44792966"/>
    <w:rsid w:val="447E374E"/>
    <w:rsid w:val="448B7458"/>
    <w:rsid w:val="44901E7E"/>
    <w:rsid w:val="4495671A"/>
    <w:rsid w:val="44A41DCD"/>
    <w:rsid w:val="44AB315B"/>
    <w:rsid w:val="44AB4F09"/>
    <w:rsid w:val="44ED5522"/>
    <w:rsid w:val="44F14EE8"/>
    <w:rsid w:val="44FA3F82"/>
    <w:rsid w:val="451172E5"/>
    <w:rsid w:val="451A720F"/>
    <w:rsid w:val="451D4CC0"/>
    <w:rsid w:val="453B24F0"/>
    <w:rsid w:val="455671E0"/>
    <w:rsid w:val="455847C7"/>
    <w:rsid w:val="45616C2B"/>
    <w:rsid w:val="456A0921"/>
    <w:rsid w:val="456F14C8"/>
    <w:rsid w:val="45D1274E"/>
    <w:rsid w:val="45D423DB"/>
    <w:rsid w:val="45D93A43"/>
    <w:rsid w:val="460D10DC"/>
    <w:rsid w:val="460F3276"/>
    <w:rsid w:val="461F3BB2"/>
    <w:rsid w:val="462D15E1"/>
    <w:rsid w:val="46352521"/>
    <w:rsid w:val="463E7A49"/>
    <w:rsid w:val="4642189D"/>
    <w:rsid w:val="464C1836"/>
    <w:rsid w:val="4666171F"/>
    <w:rsid w:val="466D440F"/>
    <w:rsid w:val="467974A6"/>
    <w:rsid w:val="46880A03"/>
    <w:rsid w:val="46955E71"/>
    <w:rsid w:val="469D714D"/>
    <w:rsid w:val="46AF05B5"/>
    <w:rsid w:val="46B04B42"/>
    <w:rsid w:val="46B758D2"/>
    <w:rsid w:val="46D36999"/>
    <w:rsid w:val="46E3558A"/>
    <w:rsid w:val="47051BEE"/>
    <w:rsid w:val="470C12F8"/>
    <w:rsid w:val="471A45C8"/>
    <w:rsid w:val="47412E3C"/>
    <w:rsid w:val="477A6E15"/>
    <w:rsid w:val="477F5297"/>
    <w:rsid w:val="478C02B5"/>
    <w:rsid w:val="47971775"/>
    <w:rsid w:val="479A0998"/>
    <w:rsid w:val="47A65E5C"/>
    <w:rsid w:val="47B9631D"/>
    <w:rsid w:val="47E32C09"/>
    <w:rsid w:val="48052B82"/>
    <w:rsid w:val="480D7C89"/>
    <w:rsid w:val="481B31B1"/>
    <w:rsid w:val="483C342B"/>
    <w:rsid w:val="484C6E22"/>
    <w:rsid w:val="48553C3D"/>
    <w:rsid w:val="48684DC2"/>
    <w:rsid w:val="488F0B6A"/>
    <w:rsid w:val="48981DE2"/>
    <w:rsid w:val="48F76611"/>
    <w:rsid w:val="48FF03C2"/>
    <w:rsid w:val="49244D8F"/>
    <w:rsid w:val="49260EB2"/>
    <w:rsid w:val="49667651"/>
    <w:rsid w:val="496729D5"/>
    <w:rsid w:val="49754C31"/>
    <w:rsid w:val="49843F7B"/>
    <w:rsid w:val="498A77E3"/>
    <w:rsid w:val="49A6040F"/>
    <w:rsid w:val="49AE0410"/>
    <w:rsid w:val="49B51AD6"/>
    <w:rsid w:val="49BD6065"/>
    <w:rsid w:val="49D52FD2"/>
    <w:rsid w:val="49EE4998"/>
    <w:rsid w:val="49F25388"/>
    <w:rsid w:val="49FF5B7A"/>
    <w:rsid w:val="4A012E3E"/>
    <w:rsid w:val="4A1F7EB0"/>
    <w:rsid w:val="4A2711D3"/>
    <w:rsid w:val="4A857E4F"/>
    <w:rsid w:val="4A8E0D19"/>
    <w:rsid w:val="4AAE3B8C"/>
    <w:rsid w:val="4AC705C3"/>
    <w:rsid w:val="4AFE6EA0"/>
    <w:rsid w:val="4B0324B1"/>
    <w:rsid w:val="4B090BDC"/>
    <w:rsid w:val="4B203D52"/>
    <w:rsid w:val="4B2356AE"/>
    <w:rsid w:val="4B261723"/>
    <w:rsid w:val="4B3519D1"/>
    <w:rsid w:val="4B3E2C57"/>
    <w:rsid w:val="4B460AE7"/>
    <w:rsid w:val="4B654AC8"/>
    <w:rsid w:val="4B667DDC"/>
    <w:rsid w:val="4B9A5CD8"/>
    <w:rsid w:val="4BB066CA"/>
    <w:rsid w:val="4BE532F7"/>
    <w:rsid w:val="4BE66E8A"/>
    <w:rsid w:val="4BEA36A0"/>
    <w:rsid w:val="4BF36940"/>
    <w:rsid w:val="4C0575F5"/>
    <w:rsid w:val="4C2C4B82"/>
    <w:rsid w:val="4C2E0615"/>
    <w:rsid w:val="4C377B1D"/>
    <w:rsid w:val="4C4443D4"/>
    <w:rsid w:val="4C450D39"/>
    <w:rsid w:val="4C5B5467"/>
    <w:rsid w:val="4C6726C0"/>
    <w:rsid w:val="4C7E342D"/>
    <w:rsid w:val="4C871D54"/>
    <w:rsid w:val="4C8A7365"/>
    <w:rsid w:val="4CAF7561"/>
    <w:rsid w:val="4CDD5E7C"/>
    <w:rsid w:val="4CDF1BF4"/>
    <w:rsid w:val="4CE95E10"/>
    <w:rsid w:val="4D0D7B68"/>
    <w:rsid w:val="4D0E72DC"/>
    <w:rsid w:val="4D21045F"/>
    <w:rsid w:val="4D215B29"/>
    <w:rsid w:val="4D2363CA"/>
    <w:rsid w:val="4D4246E8"/>
    <w:rsid w:val="4D4D193A"/>
    <w:rsid w:val="4D8430BF"/>
    <w:rsid w:val="4DD76D6F"/>
    <w:rsid w:val="4DDC7F37"/>
    <w:rsid w:val="4DFA0CB0"/>
    <w:rsid w:val="4E10402F"/>
    <w:rsid w:val="4E172040"/>
    <w:rsid w:val="4E31354B"/>
    <w:rsid w:val="4E485577"/>
    <w:rsid w:val="4E7159A1"/>
    <w:rsid w:val="4E7A2EEA"/>
    <w:rsid w:val="4E877E2F"/>
    <w:rsid w:val="4EE54186"/>
    <w:rsid w:val="4F027D72"/>
    <w:rsid w:val="4F1D2EA8"/>
    <w:rsid w:val="4F1F0499"/>
    <w:rsid w:val="4F2757CC"/>
    <w:rsid w:val="4F3A75B6"/>
    <w:rsid w:val="4F3F5CD2"/>
    <w:rsid w:val="4F872B58"/>
    <w:rsid w:val="4FC901DA"/>
    <w:rsid w:val="4FE6773D"/>
    <w:rsid w:val="4FF31B0C"/>
    <w:rsid w:val="50102896"/>
    <w:rsid w:val="50125E3D"/>
    <w:rsid w:val="50525E70"/>
    <w:rsid w:val="506445E0"/>
    <w:rsid w:val="50780852"/>
    <w:rsid w:val="50BB6B2A"/>
    <w:rsid w:val="50C31D90"/>
    <w:rsid w:val="50C3247B"/>
    <w:rsid w:val="50D0101F"/>
    <w:rsid w:val="510A1139"/>
    <w:rsid w:val="51277F39"/>
    <w:rsid w:val="514C537E"/>
    <w:rsid w:val="516D7FF2"/>
    <w:rsid w:val="51723164"/>
    <w:rsid w:val="5178076C"/>
    <w:rsid w:val="51994ECA"/>
    <w:rsid w:val="51A30F55"/>
    <w:rsid w:val="51FF0643"/>
    <w:rsid w:val="520F6922"/>
    <w:rsid w:val="52163A59"/>
    <w:rsid w:val="52354064"/>
    <w:rsid w:val="523E32D7"/>
    <w:rsid w:val="52402F66"/>
    <w:rsid w:val="524A1817"/>
    <w:rsid w:val="525D36F6"/>
    <w:rsid w:val="529D1313"/>
    <w:rsid w:val="52A4563A"/>
    <w:rsid w:val="52A66212"/>
    <w:rsid w:val="52C02424"/>
    <w:rsid w:val="52C06024"/>
    <w:rsid w:val="52C50EA2"/>
    <w:rsid w:val="52CA2DAD"/>
    <w:rsid w:val="52FB3D1A"/>
    <w:rsid w:val="532F4F57"/>
    <w:rsid w:val="534E5CC0"/>
    <w:rsid w:val="538708F0"/>
    <w:rsid w:val="53915C12"/>
    <w:rsid w:val="539B0D9B"/>
    <w:rsid w:val="53BA6E40"/>
    <w:rsid w:val="53C51418"/>
    <w:rsid w:val="53D63625"/>
    <w:rsid w:val="53DD2C05"/>
    <w:rsid w:val="53EA166B"/>
    <w:rsid w:val="540501C3"/>
    <w:rsid w:val="541F7B01"/>
    <w:rsid w:val="54451EC0"/>
    <w:rsid w:val="54A05FB3"/>
    <w:rsid w:val="54E04E5C"/>
    <w:rsid w:val="54EA1131"/>
    <w:rsid w:val="54F2623D"/>
    <w:rsid w:val="54F41FB5"/>
    <w:rsid w:val="54F478A3"/>
    <w:rsid w:val="54FD0529"/>
    <w:rsid w:val="55004A9F"/>
    <w:rsid w:val="55030BB7"/>
    <w:rsid w:val="5528557E"/>
    <w:rsid w:val="5537520F"/>
    <w:rsid w:val="555D1CEE"/>
    <w:rsid w:val="556C5FEF"/>
    <w:rsid w:val="55B8514C"/>
    <w:rsid w:val="55CA76DF"/>
    <w:rsid w:val="55CB4051"/>
    <w:rsid w:val="55F85053"/>
    <w:rsid w:val="55FD758F"/>
    <w:rsid w:val="560157A1"/>
    <w:rsid w:val="5604091D"/>
    <w:rsid w:val="560B6B3E"/>
    <w:rsid w:val="56191C96"/>
    <w:rsid w:val="56333CCD"/>
    <w:rsid w:val="56502273"/>
    <w:rsid w:val="56554D73"/>
    <w:rsid w:val="567D58F9"/>
    <w:rsid w:val="569577C7"/>
    <w:rsid w:val="56A96DCF"/>
    <w:rsid w:val="56AE3DFE"/>
    <w:rsid w:val="56B72B50"/>
    <w:rsid w:val="56E8673A"/>
    <w:rsid w:val="56F76744"/>
    <w:rsid w:val="57202AA2"/>
    <w:rsid w:val="57220B1D"/>
    <w:rsid w:val="574A4CE2"/>
    <w:rsid w:val="574B0E81"/>
    <w:rsid w:val="57601A9D"/>
    <w:rsid w:val="57792C45"/>
    <w:rsid w:val="578F5A17"/>
    <w:rsid w:val="579E2BC1"/>
    <w:rsid w:val="579F5868"/>
    <w:rsid w:val="579F74A6"/>
    <w:rsid w:val="57AC41C4"/>
    <w:rsid w:val="57B958F8"/>
    <w:rsid w:val="57F579FB"/>
    <w:rsid w:val="580908A0"/>
    <w:rsid w:val="580E2D09"/>
    <w:rsid w:val="58164938"/>
    <w:rsid w:val="5818275D"/>
    <w:rsid w:val="58290FD7"/>
    <w:rsid w:val="583B61DC"/>
    <w:rsid w:val="584B184E"/>
    <w:rsid w:val="58510257"/>
    <w:rsid w:val="58617E28"/>
    <w:rsid w:val="58940CD5"/>
    <w:rsid w:val="58B605CA"/>
    <w:rsid w:val="58C25617"/>
    <w:rsid w:val="58DC348C"/>
    <w:rsid w:val="58E04324"/>
    <w:rsid w:val="58E35531"/>
    <w:rsid w:val="58E76125"/>
    <w:rsid w:val="58F0682B"/>
    <w:rsid w:val="58F83B71"/>
    <w:rsid w:val="58FE3E3E"/>
    <w:rsid w:val="59194DD5"/>
    <w:rsid w:val="591C7D2C"/>
    <w:rsid w:val="592310BA"/>
    <w:rsid w:val="592F2011"/>
    <w:rsid w:val="595E600E"/>
    <w:rsid w:val="59930314"/>
    <w:rsid w:val="59B02563"/>
    <w:rsid w:val="59D72564"/>
    <w:rsid w:val="59E13F61"/>
    <w:rsid w:val="5A001EA3"/>
    <w:rsid w:val="5A115321"/>
    <w:rsid w:val="5A1D2B64"/>
    <w:rsid w:val="5A203D5A"/>
    <w:rsid w:val="5A4B256F"/>
    <w:rsid w:val="5A5D17EB"/>
    <w:rsid w:val="5A677AE0"/>
    <w:rsid w:val="5A6F20DD"/>
    <w:rsid w:val="5AC467B3"/>
    <w:rsid w:val="5ADC3C17"/>
    <w:rsid w:val="5ADE1B1E"/>
    <w:rsid w:val="5AE4717C"/>
    <w:rsid w:val="5AEB33F7"/>
    <w:rsid w:val="5B0F62F0"/>
    <w:rsid w:val="5B185030"/>
    <w:rsid w:val="5B2829B8"/>
    <w:rsid w:val="5B2A38DC"/>
    <w:rsid w:val="5B4F613B"/>
    <w:rsid w:val="5B5068F1"/>
    <w:rsid w:val="5B6A7475"/>
    <w:rsid w:val="5BB4249E"/>
    <w:rsid w:val="5BE06B81"/>
    <w:rsid w:val="5BE1554B"/>
    <w:rsid w:val="5BE33BE9"/>
    <w:rsid w:val="5C4035E0"/>
    <w:rsid w:val="5C5F7C1B"/>
    <w:rsid w:val="5C84622D"/>
    <w:rsid w:val="5C934FA3"/>
    <w:rsid w:val="5C97147E"/>
    <w:rsid w:val="5CBF19A1"/>
    <w:rsid w:val="5CE05CEC"/>
    <w:rsid w:val="5CE609DA"/>
    <w:rsid w:val="5D062580"/>
    <w:rsid w:val="5D0D551C"/>
    <w:rsid w:val="5D126FB2"/>
    <w:rsid w:val="5D3F6F7E"/>
    <w:rsid w:val="5D447BED"/>
    <w:rsid w:val="5D5016A1"/>
    <w:rsid w:val="5D550132"/>
    <w:rsid w:val="5D572A52"/>
    <w:rsid w:val="5D5850AB"/>
    <w:rsid w:val="5D635F29"/>
    <w:rsid w:val="5D837164"/>
    <w:rsid w:val="5D885B92"/>
    <w:rsid w:val="5D9A56C3"/>
    <w:rsid w:val="5DC7295C"/>
    <w:rsid w:val="5DD10F21"/>
    <w:rsid w:val="5DE2009F"/>
    <w:rsid w:val="5DF03535"/>
    <w:rsid w:val="5E023994"/>
    <w:rsid w:val="5E064456"/>
    <w:rsid w:val="5E1105FB"/>
    <w:rsid w:val="5E1E00A2"/>
    <w:rsid w:val="5E575D47"/>
    <w:rsid w:val="5E712C01"/>
    <w:rsid w:val="5E736640"/>
    <w:rsid w:val="5E75264A"/>
    <w:rsid w:val="5E796E06"/>
    <w:rsid w:val="5E8048B9"/>
    <w:rsid w:val="5E896574"/>
    <w:rsid w:val="5E9B16A1"/>
    <w:rsid w:val="5EAE39DA"/>
    <w:rsid w:val="5ECA774B"/>
    <w:rsid w:val="5ED679F2"/>
    <w:rsid w:val="5EDA221B"/>
    <w:rsid w:val="5EE70DDC"/>
    <w:rsid w:val="5F01167F"/>
    <w:rsid w:val="5F0932AE"/>
    <w:rsid w:val="5F0B65DC"/>
    <w:rsid w:val="5F2306CB"/>
    <w:rsid w:val="5F995AA3"/>
    <w:rsid w:val="5FAB77FB"/>
    <w:rsid w:val="5FAD650A"/>
    <w:rsid w:val="5FB23198"/>
    <w:rsid w:val="5FC111F2"/>
    <w:rsid w:val="60086116"/>
    <w:rsid w:val="601479AF"/>
    <w:rsid w:val="601E438A"/>
    <w:rsid w:val="60264CC4"/>
    <w:rsid w:val="602A5424"/>
    <w:rsid w:val="6045400C"/>
    <w:rsid w:val="604B2BA5"/>
    <w:rsid w:val="605A0420"/>
    <w:rsid w:val="60821B13"/>
    <w:rsid w:val="60873A8C"/>
    <w:rsid w:val="609712AD"/>
    <w:rsid w:val="60B67DEE"/>
    <w:rsid w:val="60F668A1"/>
    <w:rsid w:val="61007F33"/>
    <w:rsid w:val="61194893"/>
    <w:rsid w:val="612E2CF2"/>
    <w:rsid w:val="613D1036"/>
    <w:rsid w:val="61480ED7"/>
    <w:rsid w:val="616B1B3A"/>
    <w:rsid w:val="617320A8"/>
    <w:rsid w:val="617616F7"/>
    <w:rsid w:val="61783558"/>
    <w:rsid w:val="61783F6D"/>
    <w:rsid w:val="61903065"/>
    <w:rsid w:val="61967C0E"/>
    <w:rsid w:val="61BC4BC0"/>
    <w:rsid w:val="61E156B0"/>
    <w:rsid w:val="6213234A"/>
    <w:rsid w:val="623C4F9B"/>
    <w:rsid w:val="62412C60"/>
    <w:rsid w:val="624E5AC5"/>
    <w:rsid w:val="62516C98"/>
    <w:rsid w:val="62611379"/>
    <w:rsid w:val="62625CF2"/>
    <w:rsid w:val="62816E52"/>
    <w:rsid w:val="62865D12"/>
    <w:rsid w:val="629A5B3F"/>
    <w:rsid w:val="62A90750"/>
    <w:rsid w:val="62C12120"/>
    <w:rsid w:val="62E21FE6"/>
    <w:rsid w:val="62EC0DA3"/>
    <w:rsid w:val="62EE0313"/>
    <w:rsid w:val="62F75CC3"/>
    <w:rsid w:val="62F835B8"/>
    <w:rsid w:val="62FD6547"/>
    <w:rsid w:val="63024953"/>
    <w:rsid w:val="63074E74"/>
    <w:rsid w:val="632348AD"/>
    <w:rsid w:val="63244794"/>
    <w:rsid w:val="632F3922"/>
    <w:rsid w:val="633914DA"/>
    <w:rsid w:val="633F2F95"/>
    <w:rsid w:val="634A36E8"/>
    <w:rsid w:val="637013A0"/>
    <w:rsid w:val="638F3501"/>
    <w:rsid w:val="639C1EBC"/>
    <w:rsid w:val="63B84AF5"/>
    <w:rsid w:val="63D556A7"/>
    <w:rsid w:val="63D84DC0"/>
    <w:rsid w:val="63E17185"/>
    <w:rsid w:val="63E458E8"/>
    <w:rsid w:val="63EA07DC"/>
    <w:rsid w:val="63FC2D7D"/>
    <w:rsid w:val="63FF17BB"/>
    <w:rsid w:val="642B7F25"/>
    <w:rsid w:val="643A375C"/>
    <w:rsid w:val="646157DF"/>
    <w:rsid w:val="647427F7"/>
    <w:rsid w:val="647E6110"/>
    <w:rsid w:val="6481066E"/>
    <w:rsid w:val="64B92960"/>
    <w:rsid w:val="64EA33D4"/>
    <w:rsid w:val="65102E3B"/>
    <w:rsid w:val="65220D44"/>
    <w:rsid w:val="65272CAF"/>
    <w:rsid w:val="65424FBE"/>
    <w:rsid w:val="65522239"/>
    <w:rsid w:val="65683852"/>
    <w:rsid w:val="657B62F9"/>
    <w:rsid w:val="65962C14"/>
    <w:rsid w:val="65984BDE"/>
    <w:rsid w:val="659B3680"/>
    <w:rsid w:val="65A50295"/>
    <w:rsid w:val="65D976D1"/>
    <w:rsid w:val="65DB63B9"/>
    <w:rsid w:val="65DE4CE7"/>
    <w:rsid w:val="65FD6257"/>
    <w:rsid w:val="660E3EE0"/>
    <w:rsid w:val="661F70AE"/>
    <w:rsid w:val="66363D67"/>
    <w:rsid w:val="66485387"/>
    <w:rsid w:val="666465C2"/>
    <w:rsid w:val="66824031"/>
    <w:rsid w:val="66962A4F"/>
    <w:rsid w:val="66964D24"/>
    <w:rsid w:val="66A82BFF"/>
    <w:rsid w:val="66AA2E1B"/>
    <w:rsid w:val="66AA5788"/>
    <w:rsid w:val="66B21D81"/>
    <w:rsid w:val="66B5049A"/>
    <w:rsid w:val="66FEA9C0"/>
    <w:rsid w:val="67047E1A"/>
    <w:rsid w:val="671E1113"/>
    <w:rsid w:val="67205B7C"/>
    <w:rsid w:val="67226E55"/>
    <w:rsid w:val="67292158"/>
    <w:rsid w:val="672E28B2"/>
    <w:rsid w:val="67426191"/>
    <w:rsid w:val="67687BDC"/>
    <w:rsid w:val="677B0314"/>
    <w:rsid w:val="67A41618"/>
    <w:rsid w:val="67D716F8"/>
    <w:rsid w:val="67DF0050"/>
    <w:rsid w:val="67E02BCA"/>
    <w:rsid w:val="67E11DDD"/>
    <w:rsid w:val="67E6328D"/>
    <w:rsid w:val="680533C6"/>
    <w:rsid w:val="6823604A"/>
    <w:rsid w:val="68367CAE"/>
    <w:rsid w:val="686211F7"/>
    <w:rsid w:val="686F09A9"/>
    <w:rsid w:val="688470AA"/>
    <w:rsid w:val="68914293"/>
    <w:rsid w:val="689444D2"/>
    <w:rsid w:val="68974FD7"/>
    <w:rsid w:val="68AD09A1"/>
    <w:rsid w:val="68AD63C2"/>
    <w:rsid w:val="68DA1A71"/>
    <w:rsid w:val="68F16ADF"/>
    <w:rsid w:val="68F91E76"/>
    <w:rsid w:val="691029D0"/>
    <w:rsid w:val="69344C1E"/>
    <w:rsid w:val="693777F4"/>
    <w:rsid w:val="69573131"/>
    <w:rsid w:val="695B03FD"/>
    <w:rsid w:val="69693020"/>
    <w:rsid w:val="69736B04"/>
    <w:rsid w:val="69A973BA"/>
    <w:rsid w:val="69B144FC"/>
    <w:rsid w:val="69B40391"/>
    <w:rsid w:val="69CA7330"/>
    <w:rsid w:val="6A1A0E4D"/>
    <w:rsid w:val="6A4610AD"/>
    <w:rsid w:val="6A4E628A"/>
    <w:rsid w:val="6A6F5CE6"/>
    <w:rsid w:val="6A841BD5"/>
    <w:rsid w:val="6A856939"/>
    <w:rsid w:val="6A87120D"/>
    <w:rsid w:val="6A9F0CDA"/>
    <w:rsid w:val="6AAD5E11"/>
    <w:rsid w:val="6AB37DC4"/>
    <w:rsid w:val="6AC16985"/>
    <w:rsid w:val="6B19056F"/>
    <w:rsid w:val="6B1B3DAE"/>
    <w:rsid w:val="6B37143F"/>
    <w:rsid w:val="6B380DE9"/>
    <w:rsid w:val="6B43383E"/>
    <w:rsid w:val="6B5746C2"/>
    <w:rsid w:val="6B6078F1"/>
    <w:rsid w:val="6B633598"/>
    <w:rsid w:val="6B8243AC"/>
    <w:rsid w:val="6B8A6D77"/>
    <w:rsid w:val="6B96396E"/>
    <w:rsid w:val="6B970714"/>
    <w:rsid w:val="6BA51E03"/>
    <w:rsid w:val="6BAA4402"/>
    <w:rsid w:val="6BAD2EA1"/>
    <w:rsid w:val="6BB56F58"/>
    <w:rsid w:val="6BBE175E"/>
    <w:rsid w:val="6BCF3EDB"/>
    <w:rsid w:val="6BCF7E33"/>
    <w:rsid w:val="6BD82003"/>
    <w:rsid w:val="6BE836C8"/>
    <w:rsid w:val="6BED3264"/>
    <w:rsid w:val="6BEF016D"/>
    <w:rsid w:val="6BF744D0"/>
    <w:rsid w:val="6BFD09BC"/>
    <w:rsid w:val="6C00528B"/>
    <w:rsid w:val="6C0578D5"/>
    <w:rsid w:val="6C1B20C5"/>
    <w:rsid w:val="6C374CEF"/>
    <w:rsid w:val="6C3D64DF"/>
    <w:rsid w:val="6C417D7E"/>
    <w:rsid w:val="6C42099F"/>
    <w:rsid w:val="6C6E6A18"/>
    <w:rsid w:val="6C7D6F3E"/>
    <w:rsid w:val="6C807AA8"/>
    <w:rsid w:val="6C973B58"/>
    <w:rsid w:val="6CA16CF9"/>
    <w:rsid w:val="6CA2560A"/>
    <w:rsid w:val="6CAA005C"/>
    <w:rsid w:val="6CAE2F39"/>
    <w:rsid w:val="6CC17318"/>
    <w:rsid w:val="6CCD1611"/>
    <w:rsid w:val="6CD40BF2"/>
    <w:rsid w:val="6CE30E35"/>
    <w:rsid w:val="6CF45D15"/>
    <w:rsid w:val="6CFE5C6F"/>
    <w:rsid w:val="6D005FDA"/>
    <w:rsid w:val="6D020114"/>
    <w:rsid w:val="6D7A6383"/>
    <w:rsid w:val="6D834238"/>
    <w:rsid w:val="6D8C31E5"/>
    <w:rsid w:val="6D922104"/>
    <w:rsid w:val="6DA53E85"/>
    <w:rsid w:val="6DDC4C43"/>
    <w:rsid w:val="6DEC3D19"/>
    <w:rsid w:val="6E2375F3"/>
    <w:rsid w:val="6E241AAD"/>
    <w:rsid w:val="6E2E7E8E"/>
    <w:rsid w:val="6E4A7212"/>
    <w:rsid w:val="6E4E5BC3"/>
    <w:rsid w:val="6E5633D5"/>
    <w:rsid w:val="6E75148D"/>
    <w:rsid w:val="6E76723E"/>
    <w:rsid w:val="6E896EA8"/>
    <w:rsid w:val="6E8C1058"/>
    <w:rsid w:val="6EA3668A"/>
    <w:rsid w:val="6EAD265F"/>
    <w:rsid w:val="6EB10AB4"/>
    <w:rsid w:val="6EBF78EC"/>
    <w:rsid w:val="6EC00138"/>
    <w:rsid w:val="6EC573AB"/>
    <w:rsid w:val="6EEA73EF"/>
    <w:rsid w:val="6EEE1386"/>
    <w:rsid w:val="6EF07503"/>
    <w:rsid w:val="6EF67A1A"/>
    <w:rsid w:val="6F050468"/>
    <w:rsid w:val="6F0E7CBF"/>
    <w:rsid w:val="6F38564B"/>
    <w:rsid w:val="6F3B5D04"/>
    <w:rsid w:val="6F427072"/>
    <w:rsid w:val="6F4B0F13"/>
    <w:rsid w:val="6F503B07"/>
    <w:rsid w:val="6F541B10"/>
    <w:rsid w:val="6F5A2F04"/>
    <w:rsid w:val="6F7B5355"/>
    <w:rsid w:val="6F810267"/>
    <w:rsid w:val="6F992CB0"/>
    <w:rsid w:val="6F9B4E77"/>
    <w:rsid w:val="6FA13A00"/>
    <w:rsid w:val="6FB865A9"/>
    <w:rsid w:val="6FC35EAE"/>
    <w:rsid w:val="6FC76957"/>
    <w:rsid w:val="6FCC795E"/>
    <w:rsid w:val="6FCF7B4F"/>
    <w:rsid w:val="6FE72D5F"/>
    <w:rsid w:val="6FF84353"/>
    <w:rsid w:val="6FFFE9C0"/>
    <w:rsid w:val="702D0EC6"/>
    <w:rsid w:val="703D1FC6"/>
    <w:rsid w:val="705362D1"/>
    <w:rsid w:val="70726075"/>
    <w:rsid w:val="70761FC0"/>
    <w:rsid w:val="709661BE"/>
    <w:rsid w:val="709B6647"/>
    <w:rsid w:val="70B00632"/>
    <w:rsid w:val="70D31FDB"/>
    <w:rsid w:val="70FF6986"/>
    <w:rsid w:val="7121342A"/>
    <w:rsid w:val="71384878"/>
    <w:rsid w:val="7148395C"/>
    <w:rsid w:val="714F5693"/>
    <w:rsid w:val="7152348D"/>
    <w:rsid w:val="71673261"/>
    <w:rsid w:val="717F2009"/>
    <w:rsid w:val="7194467A"/>
    <w:rsid w:val="71B81EEF"/>
    <w:rsid w:val="71C55C57"/>
    <w:rsid w:val="72064E9C"/>
    <w:rsid w:val="724A3908"/>
    <w:rsid w:val="726E117A"/>
    <w:rsid w:val="728C3273"/>
    <w:rsid w:val="729B7ABC"/>
    <w:rsid w:val="72B2462F"/>
    <w:rsid w:val="72BF1EBA"/>
    <w:rsid w:val="72D442B8"/>
    <w:rsid w:val="72EE097D"/>
    <w:rsid w:val="72F01BB6"/>
    <w:rsid w:val="72F24482"/>
    <w:rsid w:val="72F53EEF"/>
    <w:rsid w:val="72FD33A7"/>
    <w:rsid w:val="72FDC010"/>
    <w:rsid w:val="73007BC2"/>
    <w:rsid w:val="730210E8"/>
    <w:rsid w:val="73100A0F"/>
    <w:rsid w:val="73173B25"/>
    <w:rsid w:val="731A0B62"/>
    <w:rsid w:val="731F25E1"/>
    <w:rsid w:val="73277418"/>
    <w:rsid w:val="73453EE0"/>
    <w:rsid w:val="73522B35"/>
    <w:rsid w:val="7354206C"/>
    <w:rsid w:val="73595538"/>
    <w:rsid w:val="735F45EF"/>
    <w:rsid w:val="7366631C"/>
    <w:rsid w:val="739C1D3D"/>
    <w:rsid w:val="73BF56F0"/>
    <w:rsid w:val="73D53762"/>
    <w:rsid w:val="73DF564B"/>
    <w:rsid w:val="740B6EE0"/>
    <w:rsid w:val="741E2752"/>
    <w:rsid w:val="74211A72"/>
    <w:rsid w:val="7428042E"/>
    <w:rsid w:val="742C48AA"/>
    <w:rsid w:val="744C3C35"/>
    <w:rsid w:val="744C72C0"/>
    <w:rsid w:val="745942EE"/>
    <w:rsid w:val="745D47C3"/>
    <w:rsid w:val="74640101"/>
    <w:rsid w:val="746A3BEA"/>
    <w:rsid w:val="7473071B"/>
    <w:rsid w:val="747B4148"/>
    <w:rsid w:val="74811765"/>
    <w:rsid w:val="749271A5"/>
    <w:rsid w:val="7497094F"/>
    <w:rsid w:val="74A92964"/>
    <w:rsid w:val="74AA2238"/>
    <w:rsid w:val="74B11BA6"/>
    <w:rsid w:val="74BA691F"/>
    <w:rsid w:val="74E03EAC"/>
    <w:rsid w:val="74FB7365"/>
    <w:rsid w:val="7513602F"/>
    <w:rsid w:val="75386E1F"/>
    <w:rsid w:val="7540626B"/>
    <w:rsid w:val="75562062"/>
    <w:rsid w:val="75570B83"/>
    <w:rsid w:val="756F2B2C"/>
    <w:rsid w:val="7573657C"/>
    <w:rsid w:val="75846F2D"/>
    <w:rsid w:val="759A0CE2"/>
    <w:rsid w:val="75AA195E"/>
    <w:rsid w:val="75AE29B9"/>
    <w:rsid w:val="75B00DA7"/>
    <w:rsid w:val="75B07D22"/>
    <w:rsid w:val="75BC66C7"/>
    <w:rsid w:val="75C02056"/>
    <w:rsid w:val="75C13CDD"/>
    <w:rsid w:val="75C630A2"/>
    <w:rsid w:val="75CA44D2"/>
    <w:rsid w:val="75D9283F"/>
    <w:rsid w:val="75DFF31F"/>
    <w:rsid w:val="761426A7"/>
    <w:rsid w:val="76475088"/>
    <w:rsid w:val="76525DAB"/>
    <w:rsid w:val="76965F4B"/>
    <w:rsid w:val="76C166E9"/>
    <w:rsid w:val="76D10E1C"/>
    <w:rsid w:val="76DE3136"/>
    <w:rsid w:val="76E14AC3"/>
    <w:rsid w:val="76E60A6A"/>
    <w:rsid w:val="76E76D03"/>
    <w:rsid w:val="76F207AF"/>
    <w:rsid w:val="77074F13"/>
    <w:rsid w:val="770F2826"/>
    <w:rsid w:val="771834F4"/>
    <w:rsid w:val="772A681C"/>
    <w:rsid w:val="77371B60"/>
    <w:rsid w:val="774B7021"/>
    <w:rsid w:val="776256DA"/>
    <w:rsid w:val="776D5ECB"/>
    <w:rsid w:val="77756B2D"/>
    <w:rsid w:val="777DCB21"/>
    <w:rsid w:val="779571D0"/>
    <w:rsid w:val="77A345CB"/>
    <w:rsid w:val="77A40F79"/>
    <w:rsid w:val="77A43BDB"/>
    <w:rsid w:val="77AD714A"/>
    <w:rsid w:val="77B84C6C"/>
    <w:rsid w:val="77D23541"/>
    <w:rsid w:val="77DC6BAC"/>
    <w:rsid w:val="77E617D9"/>
    <w:rsid w:val="77F84EAE"/>
    <w:rsid w:val="77FB5B2F"/>
    <w:rsid w:val="78020B48"/>
    <w:rsid w:val="78101D81"/>
    <w:rsid w:val="781108E5"/>
    <w:rsid w:val="78197BF7"/>
    <w:rsid w:val="78265C7D"/>
    <w:rsid w:val="78325054"/>
    <w:rsid w:val="78463EEE"/>
    <w:rsid w:val="784A042E"/>
    <w:rsid w:val="785632A7"/>
    <w:rsid w:val="78757AE0"/>
    <w:rsid w:val="787F02D6"/>
    <w:rsid w:val="78AC273E"/>
    <w:rsid w:val="78AD428C"/>
    <w:rsid w:val="78BB7C7E"/>
    <w:rsid w:val="78BC5D21"/>
    <w:rsid w:val="78E54844"/>
    <w:rsid w:val="78F571AA"/>
    <w:rsid w:val="78F83706"/>
    <w:rsid w:val="79055D78"/>
    <w:rsid w:val="793B4993"/>
    <w:rsid w:val="793F3240"/>
    <w:rsid w:val="795D6151"/>
    <w:rsid w:val="79A73866"/>
    <w:rsid w:val="79AD76D8"/>
    <w:rsid w:val="79B847EB"/>
    <w:rsid w:val="79BF6786"/>
    <w:rsid w:val="79E50D0C"/>
    <w:rsid w:val="79EB57EB"/>
    <w:rsid w:val="79FF246D"/>
    <w:rsid w:val="7A0778D5"/>
    <w:rsid w:val="7A136D2B"/>
    <w:rsid w:val="7A24483B"/>
    <w:rsid w:val="7A4A347C"/>
    <w:rsid w:val="7A4D6A17"/>
    <w:rsid w:val="7A583E39"/>
    <w:rsid w:val="7A5C1746"/>
    <w:rsid w:val="7A770E0E"/>
    <w:rsid w:val="7A851A83"/>
    <w:rsid w:val="7A85352B"/>
    <w:rsid w:val="7A8977E8"/>
    <w:rsid w:val="7AAA67BE"/>
    <w:rsid w:val="7ABF4168"/>
    <w:rsid w:val="7AE25208"/>
    <w:rsid w:val="7AE56F64"/>
    <w:rsid w:val="7B122898"/>
    <w:rsid w:val="7B2E6213"/>
    <w:rsid w:val="7B606060"/>
    <w:rsid w:val="7B610002"/>
    <w:rsid w:val="7B762E74"/>
    <w:rsid w:val="7B7900AE"/>
    <w:rsid w:val="7B897286"/>
    <w:rsid w:val="7B8D2287"/>
    <w:rsid w:val="7BB1158C"/>
    <w:rsid w:val="7BBA79BE"/>
    <w:rsid w:val="7BC010B8"/>
    <w:rsid w:val="7BCD518A"/>
    <w:rsid w:val="7C0251C7"/>
    <w:rsid w:val="7C1C5BE5"/>
    <w:rsid w:val="7C1C63DB"/>
    <w:rsid w:val="7C264DF2"/>
    <w:rsid w:val="7C5912CB"/>
    <w:rsid w:val="7C602558"/>
    <w:rsid w:val="7C602892"/>
    <w:rsid w:val="7C66368D"/>
    <w:rsid w:val="7C817D22"/>
    <w:rsid w:val="7C945CA8"/>
    <w:rsid w:val="7C986FF0"/>
    <w:rsid w:val="7C9948E3"/>
    <w:rsid w:val="7CB34123"/>
    <w:rsid w:val="7CC85951"/>
    <w:rsid w:val="7CCB0E36"/>
    <w:rsid w:val="7D1C60D1"/>
    <w:rsid w:val="7D3837B3"/>
    <w:rsid w:val="7D625DA6"/>
    <w:rsid w:val="7D653541"/>
    <w:rsid w:val="7D8E6B9B"/>
    <w:rsid w:val="7D9509FF"/>
    <w:rsid w:val="7D9A7047"/>
    <w:rsid w:val="7DA83E82"/>
    <w:rsid w:val="7DA9AFA2"/>
    <w:rsid w:val="7DBC050C"/>
    <w:rsid w:val="7DD02D0F"/>
    <w:rsid w:val="7DDD09B0"/>
    <w:rsid w:val="7DEA43E8"/>
    <w:rsid w:val="7DEFA679"/>
    <w:rsid w:val="7E3F60E7"/>
    <w:rsid w:val="7E843835"/>
    <w:rsid w:val="7E941E83"/>
    <w:rsid w:val="7EC16994"/>
    <w:rsid w:val="7EDB21BE"/>
    <w:rsid w:val="7EE26529"/>
    <w:rsid w:val="7F1B26B0"/>
    <w:rsid w:val="7F1C287F"/>
    <w:rsid w:val="7F233EAD"/>
    <w:rsid w:val="7F250B3A"/>
    <w:rsid w:val="7F261D02"/>
    <w:rsid w:val="7F34107C"/>
    <w:rsid w:val="7F566922"/>
    <w:rsid w:val="7F65E7E5"/>
    <w:rsid w:val="7F787A5F"/>
    <w:rsid w:val="7F862541"/>
    <w:rsid w:val="7F8A1909"/>
    <w:rsid w:val="7FA416E0"/>
    <w:rsid w:val="7FA95426"/>
    <w:rsid w:val="7FAB3A34"/>
    <w:rsid w:val="7FAF2DF8"/>
    <w:rsid w:val="7FC03989"/>
    <w:rsid w:val="7FCD27E1"/>
    <w:rsid w:val="7FCF6FF7"/>
    <w:rsid w:val="7FD5992E"/>
    <w:rsid w:val="7FE35A74"/>
    <w:rsid w:val="7FF57F2E"/>
    <w:rsid w:val="7FF8654D"/>
    <w:rsid w:val="BFE7714C"/>
    <w:rsid w:val="D3777675"/>
    <w:rsid w:val="DDFA2CE2"/>
    <w:rsid w:val="DDFFC6B4"/>
    <w:rsid w:val="DEE9BC02"/>
    <w:rsid w:val="E3FED52F"/>
    <w:rsid w:val="F77DFB79"/>
    <w:rsid w:val="FACF9E4D"/>
    <w:rsid w:val="FEABE134"/>
    <w:rsid w:val="FF3F00A9"/>
    <w:rsid w:val="FF6FCB4A"/>
    <w:rsid w:val="FFADFB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qFormat/>
    <w:uiPriority w:val="0"/>
    <w:pPr>
      <w:keepNext/>
      <w:keepLines/>
      <w:spacing w:before="340" w:after="330" w:line="578" w:lineRule="auto"/>
      <w:outlineLvl w:val="0"/>
    </w:pPr>
    <w:rPr>
      <w:rFonts w:ascii="Times New Roman" w:hAnsi="Times New Roman" w:eastAsia="黑体" w:cs="Times New Roman"/>
      <w:kern w:val="44"/>
      <w:sz w:val="36"/>
      <w:szCs w:val="44"/>
    </w:rPr>
  </w:style>
  <w:style w:type="paragraph" w:styleId="6">
    <w:name w:val="heading 2"/>
    <w:basedOn w:val="1"/>
    <w:next w:val="1"/>
    <w:qFormat/>
    <w:uiPriority w:val="0"/>
    <w:pPr>
      <w:keepNext/>
      <w:keepLines/>
      <w:spacing w:before="260" w:after="260" w:line="416" w:lineRule="auto"/>
      <w:outlineLvl w:val="1"/>
    </w:pPr>
    <w:rPr>
      <w:rFonts w:ascii="仿宋_GB2312" w:hAnsi="Calibri Light" w:eastAsia="仿宋_GB2312" w:cs="Times New Roman"/>
      <w:b/>
      <w:bCs/>
      <w:sz w:val="32"/>
      <w:szCs w:val="32"/>
    </w:rPr>
  </w:style>
  <w:style w:type="paragraph" w:styleId="7">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rPr>
  </w:style>
  <w:style w:type="paragraph" w:styleId="8">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1">
    <w:name w:val="Default Paragraph Font"/>
    <w:qFormat/>
    <w:uiPriority w:val="0"/>
    <w:rPr>
      <w:rFonts w:ascii="Times New Roman" w:hAnsi="Times New Roman" w:eastAsia="宋体" w:cs="Times New Roman"/>
    </w:rPr>
  </w:style>
  <w:style w:type="table" w:default="1" w:styleId="19">
    <w:name w:val="Normal Table"/>
    <w:qFormat/>
    <w:uiPriority w:val="0"/>
    <w:pPr>
      <w:keepNext w:val="0"/>
      <w:keepLines w:val="0"/>
      <w:widowControl/>
      <w:suppressLineNumbers w:val="0"/>
      <w:spacing w:before="0" w:beforeAutospacing="0" w:after="0" w:afterAutospacing="0"/>
      <w:ind w:left="0" w:right="0"/>
    </w:pPr>
    <w:rPr>
      <w:rFonts w:ascii="Times New Roman" w:hAnsi="Times New Roman" w:eastAsia="宋体"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Times New Roman" w:hAnsi="Times New Roman"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5">
    <w:name w:val="Title"/>
    <w:basedOn w:val="1"/>
    <w:next w:val="1"/>
    <w:qFormat/>
    <w:uiPriority w:val="0"/>
    <w:pPr>
      <w:widowControl/>
      <w:spacing w:before="240" w:after="60" w:line="560" w:lineRule="exact"/>
      <w:jc w:val="center"/>
      <w:outlineLvl w:val="0"/>
    </w:pPr>
    <w:rPr>
      <w:rFonts w:ascii="Arial" w:hAnsi="Arial" w:eastAsia="华文中宋" w:cs="Arial"/>
      <w:b/>
      <w:bCs/>
      <w:color w:val="FF0000"/>
      <w:sz w:val="84"/>
      <w:szCs w:val="32"/>
    </w:rPr>
  </w:style>
  <w:style w:type="paragraph" w:styleId="9">
    <w:name w:val="Normal Indent"/>
    <w:basedOn w:val="1"/>
    <w:next w:val="10"/>
    <w:qFormat/>
    <w:uiPriority w:val="0"/>
    <w:pPr>
      <w:ind w:firstLine="420" w:firstLineChars="200"/>
    </w:pPr>
    <w:rPr>
      <w:rFonts w:ascii="Times New Roman" w:hAnsi="Times New Roman" w:eastAsia="宋体" w:cs="Times New Roman"/>
    </w:rPr>
  </w:style>
  <w:style w:type="paragraph" w:styleId="10">
    <w:name w:val="Body Text"/>
    <w:basedOn w:val="1"/>
    <w:qFormat/>
    <w:uiPriority w:val="0"/>
    <w:pPr>
      <w:ind w:left="840"/>
    </w:pPr>
    <w:rPr>
      <w:rFonts w:ascii="Times New Roman" w:hAnsi="Times New Roman" w:eastAsia="宋体" w:cs="Times New Roman"/>
      <w:sz w:val="32"/>
      <w:szCs w:val="32"/>
    </w:rPr>
  </w:style>
  <w:style w:type="paragraph" w:styleId="11">
    <w:name w:val="annotation text"/>
    <w:basedOn w:val="1"/>
    <w:qFormat/>
    <w:uiPriority w:val="0"/>
    <w:pPr>
      <w:jc w:val="left"/>
    </w:pPr>
  </w:style>
  <w:style w:type="paragraph" w:styleId="12">
    <w:name w:val="footer"/>
    <w:basedOn w:val="1"/>
    <w:qFormat/>
    <w:uiPriority w:val="0"/>
    <w:pPr>
      <w:tabs>
        <w:tab w:val="center" w:pos="4153"/>
        <w:tab w:val="right" w:pos="8306"/>
      </w:tabs>
      <w:jc w:val="left"/>
    </w:pPr>
    <w:rPr>
      <w:rFonts w:ascii="Times New Roman" w:hAnsi="Times New Roman" w:eastAsia="宋体" w:cs="Times New Roman"/>
      <w:sz w:val="18"/>
      <w:szCs w:val="18"/>
    </w:rPr>
  </w:style>
  <w:style w:type="paragraph" w:styleId="13">
    <w:name w:val="header"/>
    <w:basedOn w:val="1"/>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rPr>
  </w:style>
  <w:style w:type="paragraph" w:styleId="14">
    <w:name w:val="toc 1"/>
    <w:basedOn w:val="1"/>
    <w:next w:val="1"/>
    <w:qFormat/>
    <w:uiPriority w:val="0"/>
    <w:rPr>
      <w:rFonts w:ascii="Times New Roman" w:hAnsi="Times New Roman" w:eastAsia="仿宋_GB2312" w:cs="Times New Roman"/>
      <w:b/>
      <w:sz w:val="32"/>
    </w:rPr>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tabs>
        <w:tab w:val="right" w:leader="dot" w:pos="8296"/>
      </w:tabs>
      <w:ind w:left="420" w:leftChars="200"/>
    </w:pPr>
    <w:rPr>
      <w:rFonts w:ascii="仿宋_GB2312" w:hAnsi="Times New Roman" w:eastAsia="仿宋_GB2312" w:cs="Times New Roman"/>
      <w:sz w:val="28"/>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Body Text First Indent"/>
    <w:basedOn w:val="10"/>
    <w:qFormat/>
    <w:uiPriority w:val="0"/>
    <w:pPr>
      <w:widowControl w:val="0"/>
      <w:ind w:firstLine="420" w:firstLineChars="100"/>
      <w:jc w:val="both"/>
    </w:pPr>
    <w:rPr>
      <w:rFonts w:ascii="Calibri" w:hAnsi="Calibri" w:eastAsia="宋体" w:cs="Times New Roman"/>
      <w:kern w:val="2"/>
      <w:sz w:val="21"/>
      <w:szCs w:val="24"/>
      <w:lang w:val="en-US" w:eastAsia="zh-CN" w:bidi="ar-SA"/>
    </w:rPr>
  </w:style>
  <w:style w:type="table" w:styleId="20">
    <w:name w:val="Table Grid"/>
    <w:basedOn w:val="1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rFonts w:ascii="Times New Roman" w:hAnsi="Times New Roman" w:eastAsia="宋体" w:cs="Times New Roman"/>
      <w:b/>
    </w:rPr>
  </w:style>
  <w:style w:type="character" w:styleId="23">
    <w:name w:val="Hyperlink"/>
    <w:basedOn w:val="21"/>
    <w:qFormat/>
    <w:uiPriority w:val="0"/>
    <w:rPr>
      <w:color w:val="0000FF"/>
      <w:u w:val="single"/>
    </w:rPr>
  </w:style>
  <w:style w:type="character" w:styleId="24">
    <w:name w:val="footnote reference"/>
    <w:basedOn w:val="21"/>
    <w:qFormat/>
    <w:uiPriority w:val="0"/>
    <w:rPr>
      <w:vertAlign w:val="superscript"/>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Table Text"/>
    <w:basedOn w:val="1"/>
    <w:qFormat/>
    <w:uiPriority w:val="0"/>
    <w:rPr>
      <w:rFonts w:ascii="仿宋" w:hAnsi="仿宋" w:eastAsia="仿宋" w:cs="仿宋"/>
      <w:sz w:val="20"/>
      <w:szCs w:val="20"/>
      <w:lang w:val="en-US" w:eastAsia="en-US" w:bidi="ar-SA"/>
    </w:rPr>
  </w:style>
  <w:style w:type="paragraph" w:customStyle="1" w:styleId="27">
    <w:name w:val="公文格式"/>
    <w:basedOn w:val="1"/>
    <w:qFormat/>
    <w:uiPriority w:val="0"/>
    <w:pPr>
      <w:spacing w:line="560" w:lineRule="exact"/>
      <w:ind w:firstLine="420" w:firstLineChars="200"/>
    </w:pPr>
    <w:rPr>
      <w:rFonts w:ascii="仿宋_GB2312" w:hAnsi="仿宋_GB2312" w:eastAsia="仿宋_GB2312" w:cs="Times New Roman"/>
      <w:sz w:val="32"/>
    </w:rPr>
  </w:style>
  <w:style w:type="paragraph" w:customStyle="1" w:styleId="28">
    <w:name w:val="样式2"/>
    <w:basedOn w:val="1"/>
    <w:qFormat/>
    <w:uiPriority w:val="0"/>
    <w:pPr>
      <w:spacing w:line="580" w:lineRule="exact"/>
      <w:ind w:firstLine="643" w:firstLineChars="200"/>
    </w:pPr>
    <w:rPr>
      <w:rFonts w:ascii="楷体_GB2312" w:hAnsi="楷体" w:eastAsia="楷体_GB2312" w:cs="楷体"/>
      <w:b/>
      <w:color w:val="000000"/>
      <w:sz w:val="32"/>
      <w:szCs w:val="32"/>
    </w:rPr>
  </w:style>
  <w:style w:type="paragraph" w:customStyle="1" w:styleId="29">
    <w:name w:val="WPSOffice手动目录 2"/>
    <w:qFormat/>
    <w:uiPriority w:val="0"/>
    <w:pPr>
      <w:ind w:leftChars="200"/>
    </w:pPr>
    <w:rPr>
      <w:rFonts w:ascii="Times New Roman" w:hAnsi="Times New Roman" w:eastAsia="宋体" w:cs="Times New Roman"/>
      <w:lang w:val="en-US" w:eastAsia="zh-CN" w:bidi="ar-SA"/>
    </w:rPr>
  </w:style>
  <w:style w:type="table" w:customStyle="1" w:styleId="30">
    <w:name w:val="Table Normal"/>
    <w:qFormat/>
    <w:uiPriority w:val="0"/>
    <w:rPr>
      <w:rFonts w:ascii="Times New Roman" w:hAnsi="Times New Roman" w:eastAsia="宋体" w:cs="Times New Roman"/>
    </w:rPr>
  </w:style>
  <w:style w:type="paragraph" w:customStyle="1" w:styleId="31">
    <w:name w:val="民政"/>
    <w:basedOn w:val="1"/>
    <w:next w:val="1"/>
    <w:qFormat/>
    <w:uiPriority w:val="0"/>
    <w:pPr>
      <w:ind w:firstLine="480"/>
    </w:pPr>
    <w:rPr>
      <w:rFonts w:ascii="宋体" w:hAnsi="宋体" w:eastAsia="宋体" w:cs="Times New Roman"/>
      <w:szCs w:val="32"/>
    </w:rPr>
  </w:style>
  <w:style w:type="paragraph" w:customStyle="1" w:styleId="32">
    <w:name w:val="PlainText1"/>
    <w:basedOn w:val="1"/>
    <w:qFormat/>
    <w:uiPriority w:val="0"/>
    <w:rPr>
      <w:rFonts w:ascii="宋体" w:hAnsi="Calibri" w:eastAsia="宋体" w:cs="Times New Roman"/>
      <w:szCs w:val="21"/>
    </w:rPr>
  </w:style>
  <w:style w:type="paragraph" w:customStyle="1" w:styleId="33">
    <w:name w:val="4级"/>
    <w:basedOn w:val="31"/>
    <w:qFormat/>
    <w:uiPriority w:val="0"/>
    <w:pPr>
      <w:outlineLvl w:val="3"/>
    </w:pPr>
    <w:rPr>
      <w:rFonts w:ascii="Times New Roman" w:hAnsi="Times New Roman" w:eastAsia="宋体" w:cs="Times New Roman"/>
    </w:rPr>
  </w:style>
  <w:style w:type="character" w:customStyle="1" w:styleId="34">
    <w:name w:val="NormalCharacter1"/>
    <w:qFormat/>
    <w:uiPriority w:val="0"/>
    <w:rPr>
      <w:rFonts w:ascii="Calibri" w:hAnsi="Calibri" w:eastAsia="宋体" w:cs="Times New Roman"/>
      <w:kern w:val="2"/>
      <w:sz w:val="21"/>
      <w:szCs w:val="22"/>
      <w:lang w:val="en-US" w:eastAsia="zh-CN" w:bidi="ar-SA"/>
    </w:rPr>
  </w:style>
  <w:style w:type="table" w:customStyle="1" w:styleId="35">
    <w:name w:val="网格型1"/>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cadacec6-044b-4541-931a-16721af993cb</errorID>
      <errorWord>基本实现社会主义现代化</errorWord>
      <group>L1_Political</group>
      <groupName>政治性问题</groupName>
      <ability>L2_Keyword</ability>
      <abilityName>固定表述</abilityName>
      <candidateList>
        <item>为基本实现社会主义现代化</item>
      </candidateList>
      <explain>此处内容疑似含有固定表述相关错误，建议核查。</explain>
      <paraID>40CD3281</paraID>
      <start>221</start>
      <end>232</end>
      <status>unmodified</status>
      <modifiedWord/>
      <trackRevisions>false</trackRevisions>
    </reviewItem>
    <reviewItem>
      <errorID>e577dacc-58b1-4a60-92d1-46b1cd44602c</errorID>
      <errorWord>新征程中国特色社会主义</errorWord>
      <group>L1_Political</group>
      <groupName>政治性问题</groupName>
      <ability>L2_Keyword</ability>
      <abilityName>固定表述</abilityName>
      <candidateList>
        <item>新时代中国特色社会主义</item>
      </candidateList>
      <explain>词汇“新时代中国特色社会主义”在特定场景下为固定表述形式，请确认此处的“新征程中国特色社会主义”是否存在不当。</explain>
      <paraID>40CD3281</paraID>
      <start>262</start>
      <end>273</end>
      <status>unmodified</status>
      <modifiedWord/>
      <trackRevisions>false</trackRevisions>
    </reviewItem>
    <reviewItem>
      <errorID>354b20db-e0e7-490d-9fba-fb4ac576ad74</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1B1D617E</paraID>
      <start>155</start>
      <end>160</end>
      <status>unmodified</status>
      <modifiedWord/>
      <trackRevisions>false</trackRevisions>
    </reviewItem>
    <reviewItem>
      <errorID>360776a6-6b48-4a74-ab3c-3e39c35e2cf6</errorID>
      <errorWord>市委市政府</errorWord>
      <group>L1_Word</group>
      <groupName>字词问题</groupName>
      <ability>L2_Typo</ability>
      <abilityName>字词错误</abilityName>
      <candidateList>
        <item>市委、市政府</item>
      </candidateList>
      <explain/>
      <paraID>1B1D617E</paraID>
      <start>163</start>
      <end>168</end>
      <status>unmodified</status>
      <modifiedWord/>
      <trackRevisions>false</trackRevisions>
    </reviewItem>
    <reviewItem>
      <errorID>af79399f-3b7a-4f0c-9c6a-05ff0fba44b8</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1B1D617E</paraID>
      <start>175</start>
      <end>180</end>
      <status>unmodified</status>
      <modifiedWord/>
      <trackRevisions>false</trackRevisions>
    </reviewItem>
    <reviewItem>
      <errorID>099eeef7-392a-4726-924d-a271b230d0c6</errorID>
      <errorWord>获</errorWord>
      <group>L1_Word</group>
      <groupName>字词问题</groupName>
      <ability>L2_Typo</ability>
      <abilityName>字词错误</abilityName>
      <candidateList>
        <item>获得</item>
      </candidateList>
      <explain>〈动〉取得；得到（多用于抽象事物）：～好评｜～宝贵的经验｜～显著的成绩。</explain>
      <paraID>6FF77273</paraID>
      <start>290</start>
      <end>291</end>
      <status>unmodified</status>
      <modifiedWord/>
      <trackRevisions>false</trackRevisions>
    </reviewItem>
    <reviewItem>
      <errorID>7fb87f26-9b2d-4c7e-b25d-c725c72d860c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3B6313C0</paraID>
      <start>168</start>
      <end>169</end>
      <status>unmodified</status>
      <modifiedWord/>
      <trackRevisions>false</trackRevisions>
    </reviewItem>
    <reviewItem>
      <errorID>7d687302-f744-473c-9ba3-f1af48e72f1f</errorID>
      <errorWord>-</errorWord>
      <group>L1_Format</group>
      <groupName>格式问题</groupName>
      <ability>L2_HalfPunc_CN</ability>
      <abilityName>全半角检查</abilityName>
      <candidateList>
        <item>－</item>
      </candidateList>
      <explain>文本全半角错误。</explain>
      <paraID>4746845A</paraID>
      <start>124</start>
      <end>125</end>
      <status>unmodified</status>
      <modifiedWord/>
      <trackRevisions>false</trackRevisions>
    </reviewItem>
    <reviewItem>
      <errorID>5057af31-04ef-4f75-b8b1-6e0991f7e001</errorID>
      <errorWord>-</errorWord>
      <group>L1_Format</group>
      <groupName>格式问题</groupName>
      <ability>L2_HalfPunc_CN</ability>
      <abilityName>全半角检查</abilityName>
      <candidateList>
        <item>－</item>
      </candidateList>
      <explain>文本全半角错误。</explain>
      <paraID>5EE96D6B</paraID>
      <start>26</start>
      <end>27</end>
      <status>unmodified</status>
      <modifiedWord/>
      <trackRevisions>false</trackRevisions>
    </reviewItem>
    <reviewItem>
      <errorID>5285a297-b301-4947-9f82-fb2d7d9d2ad4</errorID>
      <errorWord>-</errorWord>
      <group>L1_Format</group>
      <groupName>格式问题</groupName>
      <ability>L2_HalfPunc_CN</ability>
      <abilityName>全半角检查</abilityName>
      <candidateList>
        <item>－</item>
      </candidateList>
      <explain>文本全半角错误。</explain>
      <paraID>5EE96D6B</paraID>
      <start>29</start>
      <end>30</end>
      <status>unmodified</status>
      <modifiedWord/>
      <trackRevisions>false</trackRevisions>
    </reviewItem>
    <reviewItem>
      <errorID>c129bf9f-2f7e-467c-b341-020c0a3e7f1f</errorID>
      <errorWord>跨省通办</errorWord>
      <group>L1_Political</group>
      <groupName>政治性问题</groupName>
      <ability>L2_Keyword</ability>
      <abilityName>固定表述</abilityName>
      <candidateList>
        <item>“跨省通办”</item>
      </candidateList>
      <explain>注意检查当前固定表述标点是否使用规范。</explain>
      <paraID>5D59E473</paraID>
      <start>66</start>
      <end>70</end>
      <status>unmodified</status>
      <modifiedWord/>
      <trackRevisions>false</trackRevisions>
    </reviewItem>
    <reviewItem>
      <errorID>6203935d-80d8-4181-95c4-d3d9465cdb3e</errorID>
      <errorWord>，区社会福利中心</errorWord>
      <group>L1_Grammar</group>
      <groupName>语法问题</groupName>
      <ability>L2_Grammar</ability>
      <abilityName>语法错误</abilityName>
      <candidateList>
        <item>，</item>
      </candidateList>
      <explain/>
      <paraID>53002EFB</paraID>
      <start>69</start>
      <end>77</end>
      <status>unmodified</status>
      <modifiedWord/>
      <trackRevisions>false</trackRevisions>
    </reviewItem>
    <reviewItem>
      <errorID>2e8ed6f7-c34e-49d5-99d6-0a8cbf00b459</errorID>
      <errorWord>“</errorWord>
      <group>L1_Word</group>
      <groupName>字词问题</groupName>
      <ability>L2_Typo</ability>
      <abilityName>字词错误</abilityName>
      <candidateList>
        <item>为“</item>
      </candidateList>
      <explain/>
      <paraID>53002EFB</paraID>
      <start>86</start>
      <end>87</end>
      <status>unmodified</status>
      <modifiedWord/>
      <trackRevisions>false</trackRevisions>
    </reviewItem>
    <reviewItem>
      <errorID>85f6f5b6-dd22-4ee7-8019-a06873aeb026</errorID>
      <errorWord>和需求</errorWord>
      <group>L1_Grammar</group>
      <groupName>语法问题</groupName>
      <ability>L2_Grammar</ability>
      <abilityName>语法错误</abilityName>
      <candidateList>
        <item>和</item>
      </candidateList>
      <explain/>
      <paraID> BA1AFEF</paraID>
      <start>172</start>
      <end>175</end>
      <status>unmodified</status>
      <modifiedWord/>
      <trackRevisions>false</trackRevisions>
    </reviewItem>
    <reviewItem>
      <errorID>130f0316-b1e7-4bbb-8e68-f0ec84756297</errorID>
      <errorWord>推进全体人民</errorWord>
      <group>L1_Grammar</group>
      <groupName>语法问题</groupName>
      <ability>L2_Grammar</ability>
      <abilityName>语法错误</abilityName>
      <candidateList>
        <item>推进</item>
      </candidateList>
      <explain/>
      <paraID>274F736C</paraID>
      <start>98</start>
      <end>104</end>
      <status>unmodified</status>
      <modifiedWord/>
      <trackRevisions>false</trackRevisions>
    </reviewItem>
    <reviewItem>
      <errorID>6baaced0-03a7-4826-ac96-529003997cce</errorID>
      <errorWord>,</errorWord>
      <group>L1_Format</group>
      <groupName>格式问题</groupName>
      <ability>L2_HalfPunc_CN</ability>
      <abilityName>全半角检查</abilityName>
      <candidateList>
        <item>，</item>
      </candidateList>
      <explain>文本全半角错误。</explain>
      <paraID> 89A025E</paraID>
      <start>127</start>
      <end>128</end>
      <status>unmodified</status>
      <modifiedWord/>
      <trackRevisions>false</trackRevisions>
    </reviewItem>
    <reviewItem>
      <errorID>759a707e-9c5d-41de-b7c7-8be70800f575</errorID>
      <errorWord>理解力</errorWord>
      <group>L1_Political</group>
      <groupName>政治性问题</groupName>
      <ability>L2_Keyword</ability>
      <abilityName>固定表述</abilityName>
      <candidateList>
        <item>政治领悟力</item>
      </candidateList>
      <explain>此处内容疑似含有固定表述相关错误，建议核查。</explain>
      <paraID>1FB66757</paraID>
      <start>72</start>
      <end>75</end>
      <status>unmodified</status>
      <modifiedWord/>
      <trackRevisions>false</trackRevisions>
    </reviewItem>
    <reviewItem>
      <errorID>b4f7db54-cf4f-4ff5-87ec-e24b1ad718ee</errorID>
      <errorWord>执行力</errorWord>
      <group>L1_Political</group>
      <groupName>政治性问题</groupName>
      <ability>L2_Keyword</ability>
      <abilityName>固定表述</abilityName>
      <candidateList>
        <item>政治执行力</item>
      </candidateList>
      <explain>此处内容疑似含有固定表述相关错误，建议核查。</explain>
      <paraID>1FB66757</paraID>
      <start>76</start>
      <end>79</end>
      <status>unmodified</status>
      <modifiedWord/>
      <trackRevisions>false</trackRevisions>
    </reviewItem>
    <reviewItem>
      <errorID>0a4afa86-39f5-4ab2-aa85-c921bf4480ba</errorID>
      <errorWord>-</errorWord>
      <group>L1_Format</group>
      <groupName>格式问题</groupName>
      <ability>L2_HalfPunc_CN</ability>
      <abilityName>全半角检查</abilityName>
      <candidateList>
        <item>－</item>
      </candidateList>
      <explain>文本全半角错误。</explain>
      <paraID>662EC0DD</paraID>
      <start>35</start>
      <end>36</end>
      <status>unmodified</status>
      <modifiedWord/>
      <trackRevisions>false</trackRevisions>
    </reviewItem>
    <reviewItem>
      <errorID>fe87442e-37b2-461a-ae1e-17eb310a46ef</errorID>
      <errorWord>-</errorWord>
      <group>L1_Format</group>
      <groupName>格式问题</groupName>
      <ability>L2_HalfPunc_CN</ability>
      <abilityName>全半角检查</abilityName>
      <candidateList>
        <item>－</item>
      </candidateList>
      <explain>文本全半角错误。</explain>
      <paraID>662EC0DD</paraID>
      <start>38</start>
      <end>39</end>
      <status>unmodified</status>
      <modifiedWord/>
      <trackRevisions>false</trackRevisions>
    </reviewItem>
    <reviewItem>
      <errorID>b1870385-b40e-4458-acb3-c6c90e4339b9</errorID>
      <errorWord>-</errorWord>
      <group>L1_Format</group>
      <groupName>格式问题</groupName>
      <ability>L2_HalfPunc_CN</ability>
      <abilityName>全半角检查</abilityName>
      <candidateList>
        <item>－</item>
      </candidateList>
      <explain>文本全半角错误。</explain>
      <paraID>662EC0DD</paraID>
      <start>41</start>
      <end>42</end>
      <status>unmodified</status>
      <modifiedWord/>
      <trackRevisions>false</trackRevisions>
    </reviewItem>
    <reviewItem>
      <errorID>31af1954-4cb5-4783-8ec8-3e094f9ee119</errorID>
      <errorWord>-</errorWord>
      <group>L1_Format</group>
      <groupName>格式问题</groupName>
      <ability>L2_HalfPunc_CN</ability>
      <abilityName>全半角检查</abilityName>
      <candidateList>
        <item>－</item>
      </candidateList>
      <explain>文本全半角错误。</explain>
      <paraID>507FFE1C</paraID>
      <start>151</start>
      <end>152</end>
      <status>unmodified</status>
      <modifiedWord/>
      <trackRevisions>false</trackRevisions>
    </reviewItem>
    <reviewItem>
      <errorID>15063615-66cb-4a87-a65e-0189dfe2c267</errorID>
      <errorWord>-</errorWord>
      <group>L1_Format</group>
      <groupName>格式问题</groupName>
      <ability>L2_HalfPunc_CN</ability>
      <abilityName>全半角检查</abilityName>
      <candidateList>
        <item>－</item>
      </candidateList>
      <explain>文本全半角错误。</explain>
      <paraID>507FFE1C</paraID>
      <start>153</start>
      <end>154</end>
      <status>unmodified</status>
      <modifiedWord/>
      <trackRevisions>false</trackRevisions>
    </reviewItem>
    <reviewItem>
      <errorID>4be6d16c-020c-4abc-9b98-36273899c1a4</errorID>
      <errorWord>-</errorWord>
      <group>L1_Format</group>
      <groupName>格式问题</groupName>
      <ability>L2_HalfPunc_CN</ability>
      <abilityName>全半角检查</abilityName>
      <candidateList>
        <item>－</item>
      </candidateList>
      <explain>文本全半角错误。</explain>
      <paraID>507FFE1C</paraID>
      <start>234</start>
      <end>235</end>
      <status>unmodified</status>
      <modifiedWord/>
      <trackRevisions>false</trackRevisions>
    </reviewItem>
    <reviewItem>
      <errorID>9ad7f327-107e-4b9a-8e66-5f97ba3ffa7b</errorID>
      <errorWord>-</errorWord>
      <group>L1_Format</group>
      <groupName>格式问题</groupName>
      <ability>L2_HalfPunc_CN</ability>
      <abilityName>全半角检查</abilityName>
      <candidateList>
        <item>－</item>
      </candidateList>
      <explain>文本全半角错误。</explain>
      <paraID>507FFE1C</paraID>
      <start>237</start>
      <end>238</end>
      <status>unmodified</status>
      <modifiedWord/>
      <trackRevisions>false</trackRevisions>
    </reviewItem>
    <reviewItem>
      <errorID>cb5ac7d4-9875-48aa-807f-45f90e01f4e3</errorID>
      <errorWord>-</errorWord>
      <group>L1_Format</group>
      <groupName>格式问题</groupName>
      <ability>L2_HalfPunc_CN</ability>
      <abilityName>全半角检查</abilityName>
      <candidateList>
        <item>－</item>
      </candidateList>
      <explain>文本全半角错误。</explain>
      <paraID>15DC8A4B</paraID>
      <start>20</start>
      <end>21</end>
      <status>unmodified</status>
      <modifiedWord/>
      <trackRevisions>false</trackRevisions>
    </reviewItem>
    <reviewItem>
      <errorID>e195c7df-f3ae-48c1-8de0-c8cb248ff9be</errorID>
      <errorWord>取</errorWord>
      <group>L1_Word</group>
      <groupName>字词问题</groupName>
      <ability>L2_Typo</ability>
      <abilityName>字词错误</abilityName>
      <candidateList>
        <item>取和</item>
      </candidateList>
      <explain/>
      <paraID>22ABFD05</paraID>
      <start>53</start>
      <end>55</end>
      <status>modified</status>
      <modifiedWord>取和</modifiedWord>
      <trackRevisions>false</trackRevisions>
    </reviewItem>
    <reviewItem>
      <errorID>8278d26b-3747-4403-96de-f43d050811c2</errorID>
      <errorWord>-</errorWord>
      <group>L1_Format</group>
      <groupName>格式问题</groupName>
      <ability>L2_HalfPunc_CN</ability>
      <abilityName>全半角检查</abilityName>
      <candidateList>
        <item>－</item>
      </candidateList>
      <explain>文本全半角错误。</explain>
      <paraID>22ABFD05</paraID>
      <start>103</start>
      <end>104</end>
      <status>unmodified</status>
      <modifiedWord/>
      <trackRevisions>false</trackRevisions>
    </reviewItem>
    <reviewItem>
      <errorID>d7400430-e94b-4929-b8c3-e69660322469</errorID>
      <errorWord>-</errorWord>
      <group>L1_Format</group>
      <groupName>格式问题</groupName>
      <ability>L2_HalfPunc_CN</ability>
      <abilityName>全半角检查</abilityName>
      <candidateList>
        <item>－</item>
      </candidateList>
      <explain>文本全半角错误。</explain>
      <paraID>22ABFD05</paraID>
      <start>105</start>
      <end>106</end>
      <status>unmodified</status>
      <modifiedWord/>
      <trackRevisions>false</trackRevisions>
    </reviewItem>
    <reviewItem>
      <errorID>90e729b1-9487-4570-909e-9ec9c88c0668</errorID>
      <errorWord>-</errorWord>
      <group>L1_Format</group>
      <groupName>格式问题</groupName>
      <ability>L2_HalfPunc_CN</ability>
      <abilityName>全半角检查</abilityName>
      <candidateList>
        <item>－</item>
      </candidateList>
      <explain>文本全半角错误。</explain>
      <paraID>22ABFD05</paraID>
      <start>223</start>
      <end>224</end>
      <status>unmodified</status>
      <modifiedWord/>
      <trackRevisions>false</trackRevisions>
    </reviewItem>
    <reviewItem>
      <errorID>3ab855d1-ff60-4490-ab6a-3c0bfa2f7ddc</errorID>
      <errorWord>-</errorWord>
      <group>L1_Format</group>
      <groupName>格式问题</groupName>
      <ability>L2_HalfPunc_CN</ability>
      <abilityName>全半角检查</abilityName>
      <candidateList>
        <item>－</item>
      </candidateList>
      <explain>文本全半角错误。</explain>
      <paraID>22ABFD05</paraID>
      <start>226</start>
      <end>227</end>
      <status>unmodified</status>
      <modifiedWord/>
      <trackRevisions>false</trackRevisions>
    </reviewItem>
    <reviewItem>
      <errorID>bc72cba5-9e01-4694-9a2c-f5d12177d429</errorID>
      <errorWord>-</errorWord>
      <group>L1_Format</group>
      <groupName>格式问题</groupName>
      <ability>L2_HalfPunc_CN</ability>
      <abilityName>全半角检查</abilityName>
      <candidateList>
        <item>－</item>
      </candidateList>
      <explain>文本全半角错误。</explain>
      <paraID>3DEB53A0</paraID>
      <start>4</start>
      <end>5</end>
      <status>unmodified</status>
      <modifiedWord/>
      <trackRevisions>false</trackRevisions>
    </reviewItem>
    <reviewItem>
      <errorID>0cc8cb72-d212-441a-9eb2-a9a6123aa5f0</errorID>
      <errorWord>-</errorWord>
      <group>L1_Format</group>
      <groupName>格式问题</groupName>
      <ability>L2_HalfPunc_CN</ability>
      <abilityName>全半角检查</abilityName>
      <candidateList>
        <item>－</item>
      </candidateList>
      <explain>文本全半角错误。</explain>
      <paraID>3DEB53A0</paraID>
      <start>7</start>
      <end>8</end>
      <status>unmodified</status>
      <modifiedWord/>
      <trackRevisions>false</trackRevisions>
    </reviewItem>
    <reviewItem>
      <errorID>8cf61935-7459-4dbd-908d-35d602629283</errorID>
      <errorWord>多层次服务保障</errorWord>
      <group>L1_Political</group>
      <groupName>政治性问题</groupName>
      <ability>L2_Keyword</ability>
      <abilityName>固定表述</abilityName>
      <candidateList>
        <item>多层次医疗保障</item>
      </candidateList>
      <explain>词汇“多层次医疗保障”在特定场景下为固定表述形式，请确认此处的“多层次服务保障”是否存在不当。</explain>
      <paraID>20F1B935</paraID>
      <start>79</start>
      <end>86</end>
      <status>unmodified</status>
      <modifiedWord/>
      <trackRevisions>false</trackRevisions>
    </reviewItem>
    <reviewItem>
      <errorID>c6c5dced-c1a4-45a7-8691-e4f1978b9ec4</errorID>
      <errorWord>关爱服务模式</errorWord>
      <group>L1_Political</group>
      <groupName>政治性问题</groupName>
      <ability>L2_Keyword</ability>
      <abilityName>固定表述</abilityName>
      <candidateList>
        <item>关爱服务体系</item>
      </candidateList>
      <explain>词汇“关爱服务体系”在特定场景下为固定表述形式，请确认此处的“关爱服务模式”是否存在不当。</explain>
      <paraID>5791AD56</paraID>
      <start>35</start>
      <end>41</end>
      <status>unmodified</status>
      <modifiedWord/>
      <trackRevisions>false</trackRevisions>
    </reviewItem>
    <reviewItem>
      <errorID>00a19dcd-e66a-43ea-b38e-7b519082d1da</errorID>
      <errorWord>关爱服务模式</errorWord>
      <group>L1_Political</group>
      <groupName>政治性问题</groupName>
      <ability>L2_Keyword</ability>
      <abilityName>固定表述</abilityName>
      <candidateList>
        <item>关爱服务体系</item>
      </candidateList>
      <explain>词汇“关爱服务体系”在特定场景下为固定表述形式，请确认此处的“关爱服务模式”是否存在不当。</explain>
      <paraID>547C61C7</paraID>
      <start>37</start>
      <end>43</end>
      <status>unmodified</status>
      <modifiedWord/>
      <trackRevisions>false</trackRevisions>
    </reviewItem>
    <reviewItem>
      <errorID>45a04d81-295c-475d-bbcd-05ed65ad6936</errorID>
      <errorWord>宝未</errorWord>
      <group>L1_Word</group>
      <groupName>字词问题</groupName>
      <ability>L2_Typo</ability>
      <abilityName>字词错误</abilityName>
      <candidateList>
        <item>守望</item>
      </candidateList>
      <explain/>
      <paraID>547C61C7</paraID>
      <start>119</start>
      <end>121</end>
      <status>unmodified</status>
      <modifiedWord/>
      <trackRevisions>false</trackRevisions>
    </reviewItem>
    <reviewItem>
      <errorID>6f9cdc1d-5272-4e75-b260-e007f60e8926</errorID>
      <errorWord>提供</errorWord>
      <group>L1_Word</group>
      <groupName>字词问题</groupName>
      <ability>L2_Typo</ability>
      <abilityName>字词错误</abilityName>
      <candidateList>
        <item>开展</item>
      </candidateList>
      <explain/>
      <paraID>12C7118E</paraID>
      <start>92</start>
      <end>94</end>
      <status>unmodified</status>
      <modifiedWord/>
      <trackRevisions>false</trackRevisions>
    </reviewItem>
    <reviewItem>
      <errorID>74f00aff-f864-4e69-b2fa-dc33c75018ef</errorID>
      <errorWord>构建起</errorWord>
      <group>L1_Word</group>
      <groupName>字词问题</groupName>
      <ability>L2_Typo</ability>
      <abilityName>字词错误</abilityName>
      <candidateList>
        <item>构建</item>
      </candidateList>
      <explain/>
      <paraID>5054237B</paraID>
      <start>58</start>
      <end>60</end>
      <status>modified</status>
      <modifiedWord>构建</modifiedWord>
      <trackRevisions>false</trackRevisions>
    </reviewItem>
    <reviewItem>
      <errorID>4ef825dd-00e5-4f21-bdee-88a8ee75ca9a</errorID>
      <errorWord>调试</errorWord>
      <group>L1_Word</group>
      <groupName>字词问题</groupName>
      <ability>L2_Typo</ability>
      <abilityName>字词错误</abilityName>
      <candidateList>
        <item>调适</item>
      </candidateList>
      <explain/>
      <paraID>5054237B</paraID>
      <start>72</start>
      <end>74</end>
      <status>modified</status>
      <modifiedWord>调适</modifiedWord>
      <trackRevisions>false</trackRevisions>
    </reviewItem>
    <reviewItem>
      <errorID>b731be70-0389-4d29-a800-df00ce98b922</errorID>
      <errorWord>法律法规</errorWord>
      <group>L1_Grammar</group>
      <groupName>语法问题</groupName>
      <ability>L2_Grammar</ability>
      <abilityName>语法错误</abilityName>
      <candidateList>
        <item>相关法律法规</item>
      </candidateList>
      <explain/>
      <paraID>5054237B</paraID>
      <start>123</start>
      <end>129</end>
      <status>modified</status>
      <modifiedWord>相关法律法规</modifiedWord>
      <trackRevisions>false</trackRevisions>
    </reviewItem>
    <reviewItem>
      <errorID>ccdbc8af-6a17-4fd3-a242-e535c69a88ed</errorID>
      <errorWord>全链条消费</errorWord>
      <group>L1_Political</group>
      <groupName>政治性问题</groupName>
      <ability>L2_Keyword</ability>
      <abilityName>固定表述</abilityName>
      <candidateList>
        <item>全链条</item>
      </candidateList>
      <explain>此处内容疑似含有固定表述相关错误，建议核查。</explain>
      <paraID>7A4C3509</paraID>
      <start>53</start>
      <end>56</end>
      <status>modified</status>
      <modifiedWord>全链条</modifiedWord>
      <trackRevisions>false</trackRevisions>
    </reviewItem>
    <reviewItem>
      <errorID>7f226a71-8152-46cf-a239-9ee238bfd0b4</errorID>
      <errorWord>肃静</errorWord>
      <group>L1_Word</group>
      <groupName>字词问题</groupName>
      <ability>L2_Typo</ability>
      <abilityName>字词错误</abilityName>
      <candidateList>
        <item>肃穆</item>
      </candidateList>
      <explain/>
      <paraID>10A96B35</paraID>
      <start>57</start>
      <end>59</end>
      <status>modified</status>
      <modifiedWord>肃穆</modifiedWord>
      <trackRevisions>false</trackRevisions>
    </reviewItem>
    <reviewItem>
      <errorID>7a98139e-52ed-4bbe-9044-cc227ee01d42</errorID>
      <errorWord>政务引领</errorWord>
      <group>L1_Political</group>
      <groupName>政治性问题</groupName>
      <ability>L2_Keyword</ability>
      <abilityName>固定表述</abilityName>
      <candidateList>
        <item>政治引领</item>
      </candidateList>
      <explain>词汇“政治引领”在特定场景下为固定表述形式，请确认此处的“政务引领”是否存在不当。</explain>
      <paraID>31999E28</paraID>
      <start>45</start>
      <end>49</end>
      <status>unmodified</status>
      <modifiedWord/>
      <trackRevisions>false</trackRevisions>
    </reviewItem>
    <reviewItem>
      <errorID>fe283617-87fb-4338-a1f5-206b6f09fc09</errorID>
      <errorWord>,</errorWord>
      <group>L1_Format</group>
      <groupName>格式问题</groupName>
      <ability>L2_HalfPunc_CN</ability>
      <abilityName>全半角检查</abilityName>
      <candidateList>
        <item>，</item>
      </candidateList>
      <explain>文本全半角错误。</explain>
      <paraID>  A39C9D</paraID>
      <start>55</start>
      <end>56</end>
      <status>unmodified</status>
      <modifiedWord/>
      <trackRevisions>false</trackRevisions>
    </reviewItem>
    <reviewItem>
      <errorID>642e40a1-a82e-4172-9d50-d862b815a4a0</errorID>
      <errorWord>-</errorWord>
      <group>L1_Format</group>
      <groupName>格式问题</groupName>
      <ability>L2_HalfPunc_CN</ability>
      <abilityName>全半角检查</abilityName>
      <candidateList>
        <item>－</item>
      </candidateList>
      <explain>文本全半角错误。</explain>
      <paraID>7B71AA49</paraID>
      <start>16</start>
      <end>17</end>
      <status>unmodified</status>
      <modifiedWord/>
      <trackRevisions>false</trackRevisions>
    </reviewItem>
    <reviewItem>
      <errorID>2561e76d-9f15-4647-a748-7873a70aa183</errorID>
      <errorWord>深圳经济特区慈善事业促进条例</errorWord>
      <group>L1_Knowledge</group>
      <groupName>知识性问题</groupName>
      <ability>L2_Knowledge</ability>
      <abilityName>其他知识</abilityName>
      <candidateList/>
      <explain>当前法律法规未收录或尚未生效，注意核查是否正确。</explain>
      <paraID> 2D91EBD</paraID>
      <start>18</start>
      <end>32</end>
      <status>unmodified</status>
      <modifiedWord/>
      <trackRevisions>false</trackRevisions>
    </reviewItem>
    <reviewItem>
      <errorID>a937bb57-2d6d-4722-b831-f3554bbc2018</errorID>
      <errorWord>年底前</errorWord>
      <group>L1_Word</group>
      <groupName>字词问题</groupName>
      <ability>L2_Typo</ability>
      <abilityName>字词错误</abilityName>
      <candidateList>
        <item>年底</item>
      </candidateList>
      <explain/>
      <paraID>3D7CE69B</paraID>
      <start>331</start>
      <end>334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cd436b-6fc9-4c69-a559-2b790d15d444}">
  <ds:schemaRefs/>
</ds:datastoreItem>
</file>

<file path=docProps/app.xml><?xml version="1.0" encoding="utf-8"?>
<Properties xmlns="http://schemas.openxmlformats.org/officeDocument/2006/extended-properties" xmlns:vt="http://schemas.openxmlformats.org/officeDocument/2006/docPropsVTypes">
  <Pages>53</Pages>
  <Words>859</Words>
  <Characters>912</Characters>
  <TotalTime>1</TotalTime>
  <ScaleCrop>false</ScaleCrop>
  <LinksUpToDate>false</LinksUpToDate>
  <CharactersWithSpaces>977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2025-11-11T17:15:00Z</dcterms:created>
  <dc:creator>Hwakang-Redmi</dc:creator>
  <cp:lastModifiedBy>Hwakang</cp:lastModifiedBy>
  <dcterms:modified xsi:type="dcterms:W3CDTF">2026-06-01T01:21:42Z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eyJoZGlkIjoiZTNiMmJjMGUyMDNhMGI0MjllZTc4OTE3ODRjOTBjMWQiLCJ1c2VySWQiOiIzODU3OTY4MjcifQ==</vt:lpwstr>
  </property>
  <property fmtid="{D5CDD505-2E9C-101B-9397-08002B2CF9AE}" pid="3" name="KSOProductBuildVer">
    <vt:lpwstr>2052-12.1.0.26375</vt:lpwstr>
  </property>
  <property fmtid="{D5CDD505-2E9C-101B-9397-08002B2CF9AE}" pid="4" name="ICV">
    <vt:lpwstr>FF5B0E5097734E4CB861F83D57603930_13</vt:lpwstr>
  </property>
</Properties>
</file>